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E96" w:rsidRDefault="00243384" w:rsidP="008F4216">
      <w:pPr>
        <w:suppressAutoHyphens/>
        <w:outlineLvl w:val="0"/>
        <w:rPr>
          <w:rFonts w:ascii="Arial" w:hAnsi="Arial" w:cs="Arial"/>
          <w:bCs/>
          <w:color w:val="000000"/>
          <w:sz w:val="20"/>
          <w:szCs w:val="20"/>
          <w:lang w:val="en-GB"/>
        </w:rPr>
      </w:pPr>
      <w:r>
        <w:rPr>
          <w:rFonts w:ascii="Arial" w:hAnsi="Arial" w:cs="Arial"/>
          <w:bCs/>
          <w:color w:val="000000"/>
          <w:sz w:val="20"/>
          <w:szCs w:val="20"/>
          <w:lang w:val="en-GB"/>
        </w:rPr>
        <w:t>London</w:t>
      </w:r>
      <w:r w:rsidR="00071E96" w:rsidRPr="00CA53C1">
        <w:rPr>
          <w:rFonts w:ascii="Arial" w:hAnsi="Arial" w:cs="Arial"/>
          <w:bCs/>
          <w:color w:val="000000"/>
          <w:sz w:val="20"/>
          <w:szCs w:val="20"/>
          <w:lang w:val="en-GB"/>
        </w:rPr>
        <w:t xml:space="preserve">, </w:t>
      </w:r>
      <w:r w:rsidR="00DC0666">
        <w:rPr>
          <w:rFonts w:ascii="Arial" w:hAnsi="Arial" w:cs="Arial"/>
          <w:bCs/>
          <w:color w:val="000000"/>
          <w:sz w:val="20"/>
          <w:szCs w:val="20"/>
          <w:lang w:val="en-GB"/>
        </w:rPr>
        <w:t>2</w:t>
      </w:r>
      <w:r w:rsidR="00EC38E3">
        <w:rPr>
          <w:rFonts w:ascii="Arial" w:hAnsi="Arial" w:cs="Arial"/>
          <w:bCs/>
          <w:color w:val="000000"/>
          <w:sz w:val="20"/>
          <w:szCs w:val="20"/>
          <w:lang w:val="en-GB"/>
        </w:rPr>
        <w:t>9</w:t>
      </w:r>
      <w:r w:rsidR="00071E96">
        <w:rPr>
          <w:rFonts w:ascii="Arial" w:hAnsi="Arial" w:cs="Arial"/>
          <w:bCs/>
          <w:color w:val="000000"/>
          <w:sz w:val="20"/>
          <w:szCs w:val="20"/>
          <w:lang w:val="en-GB"/>
        </w:rPr>
        <w:t xml:space="preserve"> September 2014</w:t>
      </w:r>
    </w:p>
    <w:p w:rsidR="00071E96" w:rsidRDefault="00071E96" w:rsidP="008F4216">
      <w:pPr>
        <w:suppressAutoHyphens/>
        <w:spacing w:line="300" w:lineRule="exact"/>
        <w:outlineLvl w:val="0"/>
        <w:rPr>
          <w:rFonts w:ascii="Arial" w:hAnsi="Arial" w:cs="Arial"/>
          <w:b/>
          <w:bCs/>
          <w:color w:val="000000"/>
          <w:sz w:val="26"/>
          <w:szCs w:val="26"/>
          <w:lang w:val="en-GB"/>
        </w:rPr>
      </w:pPr>
    </w:p>
    <w:p w:rsidR="00EC38E3" w:rsidRDefault="00EC38E3" w:rsidP="00EC38E3">
      <w:pPr>
        <w:suppressAutoHyphens/>
        <w:jc w:val="both"/>
        <w:outlineLvl w:val="0"/>
        <w:rPr>
          <w:rFonts w:ascii="Arial" w:hAnsi="Arial" w:cs="Arial"/>
          <w:b/>
          <w:bCs/>
          <w:color w:val="000000"/>
          <w:sz w:val="26"/>
          <w:szCs w:val="26"/>
          <w:lang w:val="en-GB"/>
        </w:rPr>
      </w:pPr>
      <w:r w:rsidRPr="00EC38E3">
        <w:rPr>
          <w:rFonts w:ascii="Arial" w:hAnsi="Arial" w:cs="Arial"/>
          <w:b/>
          <w:bCs/>
          <w:color w:val="000000"/>
          <w:sz w:val="26"/>
          <w:szCs w:val="26"/>
          <w:lang w:val="en-GB"/>
        </w:rPr>
        <w:t xml:space="preserve">UAE economy grows stronger </w:t>
      </w:r>
      <w:r w:rsidR="005D6541">
        <w:rPr>
          <w:rFonts w:ascii="Arial" w:hAnsi="Arial" w:cs="Arial"/>
          <w:b/>
          <w:bCs/>
          <w:color w:val="000000"/>
          <w:sz w:val="26"/>
          <w:szCs w:val="26"/>
          <w:lang w:val="en-GB"/>
        </w:rPr>
        <w:t>thanks to</w:t>
      </w:r>
      <w:r w:rsidRPr="00EC38E3">
        <w:rPr>
          <w:rFonts w:ascii="Arial" w:hAnsi="Arial" w:cs="Arial"/>
          <w:b/>
          <w:bCs/>
          <w:color w:val="000000"/>
          <w:sz w:val="26"/>
          <w:szCs w:val="26"/>
          <w:lang w:val="en-GB"/>
        </w:rPr>
        <w:t xml:space="preserve"> effective diversification policy</w:t>
      </w:r>
    </w:p>
    <w:p w:rsidR="00EC38E3" w:rsidRPr="00CA53C1" w:rsidRDefault="00EC38E3" w:rsidP="00EC38E3">
      <w:pPr>
        <w:suppressAutoHyphens/>
        <w:jc w:val="both"/>
        <w:outlineLvl w:val="0"/>
        <w:rPr>
          <w:rFonts w:ascii="Arial" w:hAnsi="Arial" w:cs="Arial"/>
          <w:bCs/>
          <w:color w:val="000000"/>
          <w:sz w:val="20"/>
          <w:szCs w:val="20"/>
          <w:lang w:val="en-GB"/>
        </w:rPr>
      </w:pPr>
    </w:p>
    <w:p w:rsidR="00EC38E3" w:rsidRPr="00EC38E3" w:rsidRDefault="005D6541" w:rsidP="00EC38E3">
      <w:pPr>
        <w:pStyle w:val="ListParagraph"/>
        <w:numPr>
          <w:ilvl w:val="0"/>
          <w:numId w:val="2"/>
        </w:numPr>
        <w:spacing w:line="270" w:lineRule="exact"/>
        <w:jc w:val="both"/>
        <w:rPr>
          <w:rFonts w:ascii="Arial" w:eastAsia="Calibri" w:hAnsi="Arial" w:cs="Arial"/>
          <w:b/>
          <w:bCs/>
          <w:color w:val="000000"/>
          <w:sz w:val="22"/>
          <w:szCs w:val="22"/>
          <w:lang w:val="en-GB" w:eastAsia="en-US"/>
        </w:rPr>
      </w:pPr>
      <w:r>
        <w:rPr>
          <w:rFonts w:ascii="Arial" w:eastAsia="Calibri" w:hAnsi="Arial" w:cs="Arial"/>
          <w:b/>
          <w:bCs/>
          <w:color w:val="000000"/>
          <w:sz w:val="22"/>
          <w:szCs w:val="22"/>
          <w:lang w:val="en-GB" w:eastAsia="en-US"/>
        </w:rPr>
        <w:t>5%</w:t>
      </w:r>
      <w:r w:rsidR="00EC38E3" w:rsidRPr="00EC38E3">
        <w:rPr>
          <w:rFonts w:ascii="Arial" w:eastAsia="Calibri" w:hAnsi="Arial" w:cs="Arial"/>
          <w:b/>
          <w:bCs/>
          <w:color w:val="000000"/>
          <w:sz w:val="22"/>
          <w:szCs w:val="22"/>
          <w:lang w:val="en-GB" w:eastAsia="en-US"/>
        </w:rPr>
        <w:t xml:space="preserve"> growth projected for 2014 on the back of successful diversification policy</w:t>
      </w:r>
    </w:p>
    <w:p w:rsidR="00EC38E3" w:rsidRPr="00EC38E3" w:rsidRDefault="005D6541" w:rsidP="00EC38E3">
      <w:pPr>
        <w:pStyle w:val="ListParagraph"/>
        <w:numPr>
          <w:ilvl w:val="0"/>
          <w:numId w:val="2"/>
        </w:numPr>
        <w:spacing w:line="270" w:lineRule="exact"/>
        <w:jc w:val="both"/>
        <w:rPr>
          <w:rFonts w:ascii="Arial" w:eastAsia="Calibri" w:hAnsi="Arial" w:cs="Arial"/>
          <w:b/>
          <w:bCs/>
          <w:color w:val="000000"/>
          <w:sz w:val="22"/>
          <w:szCs w:val="22"/>
          <w:lang w:val="en-GB" w:eastAsia="en-US"/>
        </w:rPr>
      </w:pPr>
      <w:r>
        <w:rPr>
          <w:rFonts w:ascii="Arial" w:eastAsia="Calibri" w:hAnsi="Arial" w:cs="Arial"/>
          <w:b/>
          <w:bCs/>
          <w:color w:val="000000"/>
          <w:sz w:val="22"/>
          <w:szCs w:val="22"/>
          <w:lang w:val="en-GB" w:eastAsia="en-US"/>
        </w:rPr>
        <w:t>F</w:t>
      </w:r>
      <w:r w:rsidRPr="00EC38E3">
        <w:rPr>
          <w:rFonts w:ascii="Arial" w:eastAsia="Calibri" w:hAnsi="Arial" w:cs="Arial"/>
          <w:b/>
          <w:bCs/>
          <w:color w:val="000000"/>
          <w:sz w:val="22"/>
          <w:szCs w:val="22"/>
          <w:lang w:val="en-GB" w:eastAsia="en-US"/>
        </w:rPr>
        <w:t xml:space="preserve">avourable </w:t>
      </w:r>
      <w:r>
        <w:rPr>
          <w:rFonts w:ascii="Arial" w:eastAsia="Calibri" w:hAnsi="Arial" w:cs="Arial"/>
          <w:b/>
          <w:bCs/>
          <w:color w:val="000000"/>
          <w:sz w:val="22"/>
          <w:szCs w:val="22"/>
          <w:lang w:val="en-GB" w:eastAsia="en-US"/>
        </w:rPr>
        <w:t>b</w:t>
      </w:r>
      <w:r w:rsidRPr="00EC38E3">
        <w:rPr>
          <w:rFonts w:ascii="Arial" w:eastAsia="Calibri" w:hAnsi="Arial" w:cs="Arial"/>
          <w:b/>
          <w:bCs/>
          <w:color w:val="000000"/>
          <w:sz w:val="22"/>
          <w:szCs w:val="22"/>
          <w:lang w:val="en-GB" w:eastAsia="en-US"/>
        </w:rPr>
        <w:t xml:space="preserve">usiness </w:t>
      </w:r>
      <w:r>
        <w:rPr>
          <w:rFonts w:ascii="Arial" w:eastAsia="Calibri" w:hAnsi="Arial" w:cs="Arial"/>
          <w:b/>
          <w:bCs/>
          <w:color w:val="000000"/>
          <w:sz w:val="22"/>
          <w:szCs w:val="22"/>
          <w:lang w:val="en-GB" w:eastAsia="en-US"/>
        </w:rPr>
        <w:t>environment</w:t>
      </w:r>
      <w:r w:rsidR="00EC38E3" w:rsidRPr="00EC38E3">
        <w:rPr>
          <w:rFonts w:ascii="Arial" w:eastAsia="Calibri" w:hAnsi="Arial" w:cs="Arial"/>
          <w:b/>
          <w:bCs/>
          <w:color w:val="000000"/>
          <w:sz w:val="22"/>
          <w:szCs w:val="22"/>
          <w:lang w:val="en-GB" w:eastAsia="en-US"/>
        </w:rPr>
        <w:t xml:space="preserve">, </w:t>
      </w:r>
      <w:r>
        <w:rPr>
          <w:rFonts w:ascii="Arial" w:eastAsia="Calibri" w:hAnsi="Arial" w:cs="Arial"/>
          <w:b/>
          <w:bCs/>
          <w:color w:val="000000"/>
          <w:sz w:val="22"/>
          <w:szCs w:val="22"/>
          <w:lang w:val="en-GB" w:eastAsia="en-US"/>
        </w:rPr>
        <w:t>supported by</w:t>
      </w:r>
      <w:r w:rsidR="00EC38E3" w:rsidRPr="00EC38E3">
        <w:rPr>
          <w:rFonts w:ascii="Arial" w:eastAsia="Calibri" w:hAnsi="Arial" w:cs="Arial"/>
          <w:b/>
          <w:bCs/>
          <w:color w:val="000000"/>
          <w:sz w:val="22"/>
          <w:szCs w:val="22"/>
          <w:lang w:val="en-GB" w:eastAsia="en-US"/>
        </w:rPr>
        <w:t xml:space="preserve"> new </w:t>
      </w:r>
      <w:r>
        <w:rPr>
          <w:rFonts w:ascii="Arial" w:eastAsia="Calibri" w:hAnsi="Arial" w:cs="Arial"/>
          <w:b/>
          <w:bCs/>
          <w:color w:val="000000"/>
          <w:sz w:val="22"/>
          <w:szCs w:val="22"/>
          <w:lang w:val="en-GB" w:eastAsia="en-US"/>
        </w:rPr>
        <w:t>company</w:t>
      </w:r>
      <w:r w:rsidRPr="00EC38E3">
        <w:rPr>
          <w:rFonts w:ascii="Arial" w:eastAsia="Calibri" w:hAnsi="Arial" w:cs="Arial"/>
          <w:b/>
          <w:bCs/>
          <w:color w:val="000000"/>
          <w:sz w:val="22"/>
          <w:szCs w:val="22"/>
          <w:lang w:val="en-GB" w:eastAsia="en-US"/>
        </w:rPr>
        <w:t xml:space="preserve"> </w:t>
      </w:r>
      <w:r w:rsidR="00EC38E3" w:rsidRPr="00EC38E3">
        <w:rPr>
          <w:rFonts w:ascii="Arial" w:eastAsia="Calibri" w:hAnsi="Arial" w:cs="Arial"/>
          <w:b/>
          <w:bCs/>
          <w:color w:val="000000"/>
          <w:sz w:val="22"/>
          <w:szCs w:val="22"/>
          <w:lang w:val="en-GB" w:eastAsia="en-US"/>
        </w:rPr>
        <w:t xml:space="preserve">law </w:t>
      </w:r>
      <w:r>
        <w:rPr>
          <w:rFonts w:ascii="Arial" w:eastAsia="Calibri" w:hAnsi="Arial" w:cs="Arial"/>
          <w:b/>
          <w:bCs/>
          <w:color w:val="000000"/>
          <w:sz w:val="22"/>
          <w:szCs w:val="22"/>
          <w:lang w:val="en-GB" w:eastAsia="en-US"/>
        </w:rPr>
        <w:t>to improve</w:t>
      </w:r>
      <w:r w:rsidRPr="00EC38E3">
        <w:rPr>
          <w:rFonts w:ascii="Arial" w:eastAsia="Calibri" w:hAnsi="Arial" w:cs="Arial"/>
          <w:b/>
          <w:bCs/>
          <w:color w:val="000000"/>
          <w:sz w:val="22"/>
          <w:szCs w:val="22"/>
          <w:lang w:val="en-GB" w:eastAsia="en-US"/>
        </w:rPr>
        <w:t xml:space="preserve"> </w:t>
      </w:r>
      <w:r w:rsidR="00EC38E3" w:rsidRPr="00EC38E3">
        <w:rPr>
          <w:rFonts w:ascii="Arial" w:eastAsia="Calibri" w:hAnsi="Arial" w:cs="Arial"/>
          <w:b/>
          <w:bCs/>
          <w:color w:val="000000"/>
          <w:sz w:val="22"/>
          <w:szCs w:val="22"/>
          <w:lang w:val="en-GB" w:eastAsia="en-US"/>
        </w:rPr>
        <w:t xml:space="preserve">transparency </w:t>
      </w:r>
    </w:p>
    <w:p w:rsidR="00EC38E3" w:rsidRPr="00EC38E3" w:rsidRDefault="00EC38E3" w:rsidP="00EC38E3">
      <w:pPr>
        <w:pStyle w:val="ListParagraph"/>
        <w:numPr>
          <w:ilvl w:val="0"/>
          <w:numId w:val="2"/>
        </w:numPr>
        <w:spacing w:line="270" w:lineRule="exact"/>
        <w:jc w:val="both"/>
        <w:rPr>
          <w:rFonts w:ascii="Arial" w:eastAsia="Calibri" w:hAnsi="Arial" w:cs="Arial"/>
          <w:b/>
          <w:bCs/>
          <w:color w:val="000000"/>
          <w:sz w:val="22"/>
          <w:szCs w:val="22"/>
          <w:lang w:val="en-GB" w:eastAsia="en-US"/>
        </w:rPr>
      </w:pPr>
      <w:r w:rsidRPr="00EC38E3">
        <w:rPr>
          <w:rFonts w:ascii="Arial" w:eastAsia="Calibri" w:hAnsi="Arial" w:cs="Arial"/>
          <w:b/>
          <w:bCs/>
          <w:color w:val="000000"/>
          <w:sz w:val="22"/>
          <w:szCs w:val="22"/>
          <w:lang w:val="en-GB" w:eastAsia="en-US"/>
        </w:rPr>
        <w:t>Debt profile improves. Financing needs of government-related entities (GRE) continue</w:t>
      </w:r>
      <w:r w:rsidR="005D6541">
        <w:rPr>
          <w:rFonts w:ascii="Arial" w:eastAsia="Calibri" w:hAnsi="Arial" w:cs="Arial"/>
          <w:b/>
          <w:bCs/>
          <w:color w:val="000000"/>
          <w:sz w:val="22"/>
          <w:szCs w:val="22"/>
          <w:lang w:val="en-GB" w:eastAsia="en-US"/>
        </w:rPr>
        <w:t>s to be a question</w:t>
      </w:r>
    </w:p>
    <w:p w:rsidR="00EC38E3" w:rsidRPr="00EC38E3" w:rsidRDefault="00EC38E3" w:rsidP="00EC38E3">
      <w:pPr>
        <w:spacing w:line="270" w:lineRule="exact"/>
        <w:jc w:val="both"/>
        <w:rPr>
          <w:rFonts w:ascii="Arial" w:hAnsi="Arial" w:cs="Arial"/>
          <w:sz w:val="20"/>
          <w:szCs w:val="20"/>
          <w:lang w:val="en-US"/>
        </w:rPr>
      </w:pPr>
    </w:p>
    <w:p w:rsidR="00EC38E3" w:rsidRPr="00EC38E3" w:rsidRDefault="00E01086" w:rsidP="00EC38E3">
      <w:pPr>
        <w:suppressAutoHyphens/>
        <w:spacing w:line="270" w:lineRule="exact"/>
        <w:jc w:val="both"/>
        <w:rPr>
          <w:rFonts w:ascii="Arial" w:hAnsi="Arial" w:cs="Arial"/>
          <w:sz w:val="20"/>
          <w:szCs w:val="20"/>
          <w:lang w:val="en-GB"/>
        </w:rPr>
      </w:pPr>
      <w:r>
        <w:rPr>
          <w:rFonts w:ascii="Arial" w:hAnsi="Arial" w:cs="Arial"/>
          <w:sz w:val="20"/>
          <w:szCs w:val="20"/>
          <w:lang w:val="en-GB"/>
        </w:rPr>
        <w:t xml:space="preserve">In its latest country assessment, </w:t>
      </w:r>
      <w:proofErr w:type="spellStart"/>
      <w:r w:rsidR="005D6541">
        <w:rPr>
          <w:rFonts w:ascii="Arial" w:hAnsi="Arial" w:cs="Arial"/>
          <w:sz w:val="20"/>
          <w:szCs w:val="20"/>
          <w:lang w:val="en-GB"/>
        </w:rPr>
        <w:t>Coface</w:t>
      </w:r>
      <w:proofErr w:type="spellEnd"/>
      <w:r w:rsidR="005D6541">
        <w:rPr>
          <w:rFonts w:ascii="Arial" w:hAnsi="Arial" w:cs="Arial"/>
          <w:sz w:val="20"/>
          <w:szCs w:val="20"/>
          <w:lang w:val="en-GB"/>
        </w:rPr>
        <w:t xml:space="preserve"> has </w:t>
      </w:r>
      <w:r>
        <w:rPr>
          <w:rFonts w:ascii="Arial" w:hAnsi="Arial" w:cs="Arial"/>
          <w:sz w:val="20"/>
          <w:szCs w:val="20"/>
          <w:lang w:val="en-GB"/>
        </w:rPr>
        <w:t>ranked</w:t>
      </w:r>
      <w:r w:rsidR="005D6541">
        <w:rPr>
          <w:rFonts w:ascii="Arial" w:hAnsi="Arial" w:cs="Arial"/>
          <w:sz w:val="20"/>
          <w:szCs w:val="20"/>
          <w:lang w:val="en-GB"/>
        </w:rPr>
        <w:t xml:space="preserve"> t</w:t>
      </w:r>
      <w:r w:rsidR="00EC38E3" w:rsidRPr="00EC38E3">
        <w:rPr>
          <w:rFonts w:ascii="Arial" w:hAnsi="Arial" w:cs="Arial"/>
          <w:sz w:val="20"/>
          <w:szCs w:val="20"/>
          <w:lang w:val="en-GB"/>
        </w:rPr>
        <w:t>he United Arab Emirates (UAE) A3</w:t>
      </w:r>
      <w:r w:rsidR="00EC38E3">
        <w:rPr>
          <w:rStyle w:val="FootnoteReference"/>
          <w:rFonts w:ascii="Arial" w:hAnsi="Arial" w:cs="Arial"/>
          <w:sz w:val="20"/>
          <w:szCs w:val="20"/>
          <w:lang w:val="en-GB"/>
        </w:rPr>
        <w:footnoteReference w:id="1"/>
      </w:r>
      <w:r w:rsidR="00EC38E3" w:rsidRPr="00EC38E3">
        <w:rPr>
          <w:rFonts w:ascii="Arial" w:hAnsi="Arial" w:cs="Arial"/>
          <w:sz w:val="20"/>
          <w:szCs w:val="20"/>
          <w:lang w:val="en-GB"/>
        </w:rPr>
        <w:t xml:space="preserve"> </w:t>
      </w:r>
      <w:r w:rsidR="005D6541">
        <w:rPr>
          <w:rFonts w:ascii="Arial" w:hAnsi="Arial" w:cs="Arial"/>
          <w:sz w:val="20"/>
          <w:szCs w:val="20"/>
          <w:lang w:val="en-GB"/>
        </w:rPr>
        <w:t>,</w:t>
      </w:r>
      <w:r w:rsidR="00EC38E3">
        <w:rPr>
          <w:rFonts w:ascii="Arial" w:hAnsi="Arial" w:cs="Arial"/>
          <w:sz w:val="20"/>
          <w:szCs w:val="20"/>
          <w:lang w:val="en-GB"/>
        </w:rPr>
        <w:t xml:space="preserve"> and </w:t>
      </w:r>
      <w:r w:rsidR="005D6541">
        <w:rPr>
          <w:rFonts w:ascii="Arial" w:hAnsi="Arial" w:cs="Arial"/>
          <w:sz w:val="20"/>
          <w:szCs w:val="20"/>
          <w:lang w:val="en-GB"/>
        </w:rPr>
        <w:t>expects</w:t>
      </w:r>
      <w:r w:rsidR="00EC38E3" w:rsidRPr="00EC38E3">
        <w:rPr>
          <w:rFonts w:ascii="Arial" w:hAnsi="Arial" w:cs="Arial"/>
          <w:sz w:val="20"/>
          <w:szCs w:val="20"/>
          <w:lang w:val="en-GB"/>
        </w:rPr>
        <w:t xml:space="preserve"> </w:t>
      </w:r>
      <w:r w:rsidR="005D6541">
        <w:rPr>
          <w:rFonts w:ascii="Arial" w:hAnsi="Arial" w:cs="Arial"/>
          <w:sz w:val="20"/>
          <w:szCs w:val="20"/>
          <w:lang w:val="en-GB"/>
        </w:rPr>
        <w:t xml:space="preserve">the country’s </w:t>
      </w:r>
      <w:proofErr w:type="spellStart"/>
      <w:r w:rsidR="005D6541">
        <w:rPr>
          <w:rFonts w:ascii="Arial" w:hAnsi="Arial" w:cs="Arial"/>
          <w:sz w:val="20"/>
          <w:szCs w:val="20"/>
          <w:lang w:val="en-GB"/>
        </w:rPr>
        <w:t>enonomy</w:t>
      </w:r>
      <w:proofErr w:type="spellEnd"/>
      <w:r w:rsidR="005D6541">
        <w:rPr>
          <w:rFonts w:ascii="Arial" w:hAnsi="Arial" w:cs="Arial"/>
          <w:sz w:val="20"/>
          <w:szCs w:val="20"/>
          <w:lang w:val="en-GB"/>
        </w:rPr>
        <w:t xml:space="preserve"> to grow by </w:t>
      </w:r>
      <w:r w:rsidR="00EC38E3" w:rsidRPr="00EC38E3">
        <w:rPr>
          <w:rFonts w:ascii="Arial" w:hAnsi="Arial" w:cs="Arial"/>
          <w:sz w:val="20"/>
          <w:szCs w:val="20"/>
          <w:lang w:val="en-GB"/>
        </w:rPr>
        <w:t xml:space="preserve">around 5 percent in </w:t>
      </w:r>
      <w:r w:rsidR="00EC38E3">
        <w:rPr>
          <w:rFonts w:ascii="Arial" w:hAnsi="Arial" w:cs="Arial"/>
          <w:sz w:val="20"/>
          <w:szCs w:val="20"/>
          <w:lang w:val="en-GB"/>
        </w:rPr>
        <w:t xml:space="preserve">2014. </w:t>
      </w:r>
      <w:r w:rsidR="00EC38E3" w:rsidRPr="00EC38E3">
        <w:rPr>
          <w:rFonts w:ascii="Arial" w:hAnsi="Arial" w:cs="Arial"/>
          <w:sz w:val="20"/>
          <w:szCs w:val="20"/>
          <w:lang w:val="en-GB"/>
        </w:rPr>
        <w:t xml:space="preserve">The </w:t>
      </w:r>
      <w:r w:rsidR="005D6541">
        <w:rPr>
          <w:rFonts w:ascii="Arial" w:hAnsi="Arial" w:cs="Arial"/>
          <w:sz w:val="20"/>
          <w:szCs w:val="20"/>
          <w:lang w:val="en-GB"/>
        </w:rPr>
        <w:t xml:space="preserve">business climate in the </w:t>
      </w:r>
      <w:r w:rsidR="00EC38E3" w:rsidRPr="00EC38E3">
        <w:rPr>
          <w:rFonts w:ascii="Arial" w:hAnsi="Arial" w:cs="Arial"/>
          <w:sz w:val="20"/>
          <w:szCs w:val="20"/>
          <w:lang w:val="en-GB"/>
        </w:rPr>
        <w:t xml:space="preserve">UAE </w:t>
      </w:r>
      <w:r w:rsidR="005D6541">
        <w:rPr>
          <w:rFonts w:ascii="Arial" w:hAnsi="Arial" w:cs="Arial"/>
          <w:sz w:val="20"/>
          <w:szCs w:val="20"/>
          <w:lang w:val="en-GB"/>
        </w:rPr>
        <w:t xml:space="preserve">has </w:t>
      </w:r>
      <w:r w:rsidR="005D6541" w:rsidRPr="00EC38E3">
        <w:rPr>
          <w:rFonts w:ascii="Arial" w:hAnsi="Arial" w:cs="Arial"/>
          <w:sz w:val="20"/>
          <w:szCs w:val="20"/>
          <w:lang w:val="en-GB"/>
        </w:rPr>
        <w:t>also been assessed at A3</w:t>
      </w:r>
      <w:r w:rsidR="005D6541">
        <w:rPr>
          <w:rFonts w:ascii="Arial" w:hAnsi="Arial" w:cs="Arial"/>
          <w:sz w:val="20"/>
          <w:szCs w:val="20"/>
          <w:lang w:val="en-GB"/>
        </w:rPr>
        <w:t>, taking into account</w:t>
      </w:r>
      <w:r w:rsidR="00EC38E3" w:rsidRPr="00EC38E3">
        <w:rPr>
          <w:rFonts w:ascii="Arial" w:hAnsi="Arial" w:cs="Arial"/>
          <w:sz w:val="20"/>
          <w:szCs w:val="20"/>
          <w:lang w:val="en-GB"/>
        </w:rPr>
        <w:t xml:space="preserve"> a number of factors such as the availability of company reports, reliability and the effectiveness of the legal system. After contracting by around 5 percent in 2009, the UAE’s economy </w:t>
      </w:r>
      <w:r w:rsidR="005D6541">
        <w:rPr>
          <w:rFonts w:ascii="Arial" w:hAnsi="Arial" w:cs="Arial"/>
          <w:sz w:val="20"/>
          <w:szCs w:val="20"/>
          <w:lang w:val="en-GB"/>
        </w:rPr>
        <w:t xml:space="preserve">has recovered </w:t>
      </w:r>
      <w:r w:rsidR="00EC38E3" w:rsidRPr="00EC38E3">
        <w:rPr>
          <w:rFonts w:ascii="Arial" w:hAnsi="Arial" w:cs="Arial"/>
          <w:sz w:val="20"/>
          <w:szCs w:val="20"/>
          <w:lang w:val="en-GB"/>
        </w:rPr>
        <w:t>gradually to register solid growth rates, with 5.2 percent recorded in 2013.</w:t>
      </w:r>
    </w:p>
    <w:p w:rsidR="00EC38E3" w:rsidRPr="00EC38E3" w:rsidRDefault="00EC38E3" w:rsidP="00EC38E3">
      <w:pPr>
        <w:suppressAutoHyphens/>
        <w:spacing w:line="270" w:lineRule="exact"/>
        <w:jc w:val="both"/>
        <w:rPr>
          <w:rFonts w:ascii="Arial" w:hAnsi="Arial" w:cs="Arial"/>
          <w:sz w:val="20"/>
          <w:szCs w:val="20"/>
          <w:lang w:val="en-GB"/>
        </w:rPr>
      </w:pPr>
    </w:p>
    <w:p w:rsidR="00EC38E3" w:rsidRPr="00EC38E3" w:rsidRDefault="00EC38E3" w:rsidP="00EC38E3">
      <w:pPr>
        <w:suppressAutoHyphens/>
        <w:spacing w:line="270" w:lineRule="exact"/>
        <w:jc w:val="both"/>
        <w:rPr>
          <w:rFonts w:ascii="Arial" w:hAnsi="Arial" w:cs="Arial"/>
          <w:sz w:val="20"/>
          <w:szCs w:val="20"/>
          <w:lang w:val="en-GB"/>
        </w:rPr>
      </w:pPr>
      <w:r w:rsidRPr="00EC38E3">
        <w:rPr>
          <w:rFonts w:ascii="Arial" w:hAnsi="Arial" w:cs="Arial"/>
          <w:i/>
          <w:sz w:val="20"/>
          <w:szCs w:val="20"/>
          <w:lang w:val="en-GB"/>
        </w:rPr>
        <w:t xml:space="preserve">“The UAE economy remains solid, supported by both the </w:t>
      </w:r>
      <w:r w:rsidR="00E01086">
        <w:rPr>
          <w:rFonts w:ascii="Arial" w:hAnsi="Arial" w:cs="Arial"/>
          <w:i/>
          <w:sz w:val="20"/>
          <w:szCs w:val="20"/>
          <w:lang w:val="en-GB"/>
        </w:rPr>
        <w:t>oil and gas</w:t>
      </w:r>
      <w:r w:rsidR="00E01086" w:rsidRPr="00EC38E3">
        <w:rPr>
          <w:rFonts w:ascii="Arial" w:hAnsi="Arial" w:cs="Arial"/>
          <w:i/>
          <w:sz w:val="20"/>
          <w:szCs w:val="20"/>
          <w:lang w:val="en-GB"/>
        </w:rPr>
        <w:t xml:space="preserve"> </w:t>
      </w:r>
      <w:r w:rsidRPr="00EC38E3">
        <w:rPr>
          <w:rFonts w:ascii="Arial" w:hAnsi="Arial" w:cs="Arial"/>
          <w:i/>
          <w:sz w:val="20"/>
          <w:szCs w:val="20"/>
          <w:lang w:val="en-GB"/>
        </w:rPr>
        <w:t xml:space="preserve">sector and </w:t>
      </w:r>
      <w:r w:rsidR="00FE7344">
        <w:rPr>
          <w:rFonts w:ascii="Arial" w:hAnsi="Arial" w:cs="Arial"/>
          <w:i/>
          <w:sz w:val="20"/>
          <w:szCs w:val="20"/>
          <w:lang w:val="en-GB"/>
        </w:rPr>
        <w:t>non-oil</w:t>
      </w:r>
      <w:r w:rsidRPr="00EC38E3">
        <w:rPr>
          <w:rFonts w:ascii="Arial" w:hAnsi="Arial" w:cs="Arial"/>
          <w:i/>
          <w:sz w:val="20"/>
          <w:szCs w:val="20"/>
          <w:lang w:val="en-GB"/>
        </w:rPr>
        <w:t xml:space="preserve"> sector. The country’s diversification policy constitutes an important pillar of its economic performance, as it reduces </w:t>
      </w:r>
      <w:r w:rsidR="00E01086">
        <w:rPr>
          <w:rFonts w:ascii="Arial" w:hAnsi="Arial" w:cs="Arial"/>
          <w:i/>
          <w:sz w:val="20"/>
          <w:szCs w:val="20"/>
          <w:lang w:val="en-GB"/>
        </w:rPr>
        <w:t>its</w:t>
      </w:r>
      <w:r w:rsidR="00E01086" w:rsidRPr="00EC38E3">
        <w:rPr>
          <w:rFonts w:ascii="Arial" w:hAnsi="Arial" w:cs="Arial"/>
          <w:i/>
          <w:sz w:val="20"/>
          <w:szCs w:val="20"/>
          <w:lang w:val="en-GB"/>
        </w:rPr>
        <w:t xml:space="preserve"> </w:t>
      </w:r>
      <w:r w:rsidRPr="00EC38E3">
        <w:rPr>
          <w:rFonts w:ascii="Arial" w:hAnsi="Arial" w:cs="Arial"/>
          <w:i/>
          <w:sz w:val="20"/>
          <w:szCs w:val="20"/>
          <w:lang w:val="en-GB"/>
        </w:rPr>
        <w:t xml:space="preserve">dependence on oil and supports the real </w:t>
      </w:r>
      <w:r w:rsidR="00E01086">
        <w:rPr>
          <w:rFonts w:ascii="Arial" w:hAnsi="Arial" w:cs="Arial"/>
          <w:i/>
          <w:sz w:val="20"/>
          <w:szCs w:val="20"/>
          <w:lang w:val="en-GB"/>
        </w:rPr>
        <w:t>economy</w:t>
      </w:r>
      <w:r w:rsidRPr="00EC38E3">
        <w:rPr>
          <w:rFonts w:ascii="Arial" w:hAnsi="Arial" w:cs="Arial"/>
          <w:i/>
          <w:sz w:val="20"/>
          <w:szCs w:val="20"/>
          <w:lang w:val="en-GB"/>
        </w:rPr>
        <w:t>. The business environment is improving and the actions taken to increase transparency within the economy are crucial to reducing</w:t>
      </w:r>
      <w:r w:rsidR="00BE0ED0">
        <w:rPr>
          <w:rFonts w:ascii="Arial" w:hAnsi="Arial" w:cs="Arial"/>
          <w:i/>
          <w:sz w:val="20"/>
          <w:szCs w:val="20"/>
          <w:lang w:val="en-GB"/>
        </w:rPr>
        <w:t xml:space="preserve"> risks in the corporate sec</w:t>
      </w:r>
      <w:r w:rsidRPr="00EC38E3">
        <w:rPr>
          <w:rFonts w:ascii="Arial" w:hAnsi="Arial" w:cs="Arial"/>
          <w:i/>
          <w:sz w:val="20"/>
          <w:szCs w:val="20"/>
          <w:lang w:val="en-GB"/>
        </w:rPr>
        <w:t>tor,”</w:t>
      </w:r>
      <w:r w:rsidRPr="00EC38E3">
        <w:rPr>
          <w:rFonts w:ascii="Arial" w:hAnsi="Arial" w:cs="Arial"/>
          <w:sz w:val="20"/>
          <w:szCs w:val="20"/>
          <w:lang w:val="en-GB"/>
        </w:rPr>
        <w:t xml:space="preserve"> said </w:t>
      </w:r>
      <w:proofErr w:type="spellStart"/>
      <w:r w:rsidRPr="00EC38E3">
        <w:rPr>
          <w:rFonts w:ascii="Arial" w:hAnsi="Arial" w:cs="Arial"/>
          <w:sz w:val="20"/>
          <w:szCs w:val="20"/>
          <w:lang w:val="en-GB"/>
        </w:rPr>
        <w:t>Seltem</w:t>
      </w:r>
      <w:proofErr w:type="spellEnd"/>
      <w:r w:rsidRPr="00EC38E3">
        <w:rPr>
          <w:rFonts w:ascii="Arial" w:hAnsi="Arial" w:cs="Arial"/>
          <w:sz w:val="20"/>
          <w:szCs w:val="20"/>
          <w:lang w:val="en-GB"/>
        </w:rPr>
        <w:t xml:space="preserve"> </w:t>
      </w:r>
      <w:proofErr w:type="spellStart"/>
      <w:r w:rsidRPr="00EC38E3">
        <w:rPr>
          <w:rFonts w:ascii="Arial" w:hAnsi="Arial" w:cs="Arial"/>
          <w:sz w:val="20"/>
          <w:szCs w:val="20"/>
          <w:lang w:val="en-GB"/>
        </w:rPr>
        <w:t>Iyigun</w:t>
      </w:r>
      <w:proofErr w:type="spellEnd"/>
      <w:r w:rsidRPr="00EC38E3">
        <w:rPr>
          <w:rFonts w:ascii="Arial" w:hAnsi="Arial" w:cs="Arial"/>
          <w:sz w:val="20"/>
          <w:szCs w:val="20"/>
          <w:lang w:val="en-GB"/>
        </w:rPr>
        <w:t xml:space="preserve">, Economist for the MENA at </w:t>
      </w:r>
      <w:proofErr w:type="spellStart"/>
      <w:r w:rsidRPr="00EC38E3">
        <w:rPr>
          <w:rFonts w:ascii="Arial" w:hAnsi="Arial" w:cs="Arial"/>
          <w:sz w:val="20"/>
          <w:szCs w:val="20"/>
          <w:lang w:val="en-GB"/>
        </w:rPr>
        <w:t>Coface</w:t>
      </w:r>
      <w:proofErr w:type="spellEnd"/>
      <w:r w:rsidRPr="00EC38E3">
        <w:rPr>
          <w:rFonts w:ascii="Arial" w:hAnsi="Arial" w:cs="Arial"/>
          <w:sz w:val="20"/>
          <w:szCs w:val="20"/>
          <w:lang w:val="en-GB"/>
        </w:rPr>
        <w:t xml:space="preserve">. </w:t>
      </w:r>
    </w:p>
    <w:p w:rsidR="00EC38E3" w:rsidRDefault="00EC38E3" w:rsidP="00EC38E3">
      <w:pPr>
        <w:suppressAutoHyphens/>
        <w:spacing w:line="270" w:lineRule="exact"/>
        <w:jc w:val="both"/>
        <w:rPr>
          <w:rFonts w:ascii="Arial" w:hAnsi="Arial" w:cs="Arial"/>
          <w:sz w:val="20"/>
          <w:szCs w:val="20"/>
          <w:lang w:val="en-GB"/>
        </w:rPr>
      </w:pPr>
    </w:p>
    <w:p w:rsidR="00EC38E3" w:rsidRPr="00EC38E3" w:rsidRDefault="00EC38E3" w:rsidP="00EC38E3">
      <w:pPr>
        <w:suppressAutoHyphens/>
        <w:spacing w:line="270" w:lineRule="exact"/>
        <w:jc w:val="both"/>
        <w:rPr>
          <w:rFonts w:ascii="Arial" w:hAnsi="Arial" w:cs="Arial"/>
          <w:sz w:val="20"/>
          <w:szCs w:val="20"/>
          <w:lang w:val="en-GB"/>
        </w:rPr>
      </w:pPr>
    </w:p>
    <w:p w:rsidR="00EC38E3" w:rsidRDefault="00EC38E3" w:rsidP="00EC38E3">
      <w:pPr>
        <w:suppressAutoHyphens/>
        <w:spacing w:line="270" w:lineRule="exact"/>
        <w:jc w:val="center"/>
        <w:rPr>
          <w:rFonts w:ascii="Arial" w:hAnsi="Arial" w:cs="Arial"/>
          <w:b/>
          <w:sz w:val="20"/>
          <w:szCs w:val="20"/>
          <w:lang w:val="en-GB"/>
        </w:rPr>
      </w:pPr>
      <w:r w:rsidRPr="00EC38E3">
        <w:rPr>
          <w:rFonts w:ascii="Arial" w:hAnsi="Arial" w:cs="Arial"/>
          <w:b/>
          <w:sz w:val="20"/>
          <w:szCs w:val="20"/>
          <w:lang w:val="en-GB"/>
        </w:rPr>
        <w:t>Economic growth performance</w:t>
      </w:r>
    </w:p>
    <w:p w:rsidR="00EC38E3" w:rsidRDefault="00EC38E3" w:rsidP="00EC38E3">
      <w:pPr>
        <w:suppressAutoHyphens/>
        <w:spacing w:line="270" w:lineRule="exact"/>
        <w:jc w:val="both"/>
        <w:rPr>
          <w:rFonts w:ascii="Arial" w:hAnsi="Arial" w:cs="Arial"/>
          <w:b/>
          <w:sz w:val="20"/>
          <w:szCs w:val="20"/>
          <w:lang w:val="en-GB"/>
        </w:rPr>
      </w:pPr>
      <w:r w:rsidRPr="00EC38E3">
        <w:rPr>
          <w:rFonts w:ascii="Arial" w:eastAsia="Times New Roman" w:hAnsi="Arial" w:cs="Arial"/>
          <w:b/>
          <w:noProof/>
          <w:color w:val="1A1919"/>
          <w:sz w:val="20"/>
          <w:szCs w:val="20"/>
          <w:lang w:val="en-GB" w:eastAsia="en-GB"/>
        </w:rPr>
        <w:drawing>
          <wp:anchor distT="0" distB="0" distL="114300" distR="114300" simplePos="0" relativeHeight="251666432" behindDoc="0" locked="0" layoutInCell="1" allowOverlap="1" wp14:anchorId="1A271CB2" wp14:editId="69848864">
            <wp:simplePos x="0" y="0"/>
            <wp:positionH relativeFrom="column">
              <wp:posOffset>298450</wp:posOffset>
            </wp:positionH>
            <wp:positionV relativeFrom="paragraph">
              <wp:posOffset>100330</wp:posOffset>
            </wp:positionV>
            <wp:extent cx="4647565" cy="1853565"/>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7565" cy="1853565"/>
                    </a:xfrm>
                    <a:prstGeom prst="rect">
                      <a:avLst/>
                    </a:prstGeom>
                    <a:noFill/>
                  </pic:spPr>
                </pic:pic>
              </a:graphicData>
            </a:graphic>
            <wp14:sizeRelH relativeFrom="margin">
              <wp14:pctWidth>0</wp14:pctWidth>
            </wp14:sizeRelH>
            <wp14:sizeRelV relativeFrom="margin">
              <wp14:pctHeight>0</wp14:pctHeight>
            </wp14:sizeRelV>
          </wp:anchor>
        </w:drawing>
      </w:r>
    </w:p>
    <w:p w:rsidR="00EC38E3" w:rsidRDefault="00EC38E3" w:rsidP="00EC38E3">
      <w:pPr>
        <w:suppressAutoHyphens/>
        <w:spacing w:line="270" w:lineRule="exact"/>
        <w:jc w:val="both"/>
        <w:rPr>
          <w:rFonts w:ascii="Arial" w:hAnsi="Arial" w:cs="Arial"/>
          <w:b/>
          <w:sz w:val="20"/>
          <w:szCs w:val="20"/>
          <w:lang w:val="en-GB"/>
        </w:rPr>
      </w:pPr>
    </w:p>
    <w:p w:rsidR="00EC38E3" w:rsidRDefault="00EC38E3" w:rsidP="00EC38E3">
      <w:pPr>
        <w:suppressAutoHyphens/>
        <w:spacing w:line="270" w:lineRule="exact"/>
        <w:jc w:val="both"/>
        <w:rPr>
          <w:rFonts w:ascii="Arial" w:hAnsi="Arial" w:cs="Arial"/>
          <w:b/>
          <w:sz w:val="20"/>
          <w:szCs w:val="20"/>
          <w:lang w:val="en-GB"/>
        </w:rPr>
      </w:pPr>
    </w:p>
    <w:p w:rsidR="00EC38E3" w:rsidRDefault="00EC38E3" w:rsidP="00EC38E3">
      <w:pPr>
        <w:suppressAutoHyphens/>
        <w:spacing w:line="270" w:lineRule="exact"/>
        <w:jc w:val="both"/>
        <w:rPr>
          <w:rFonts w:ascii="Arial" w:hAnsi="Arial" w:cs="Arial"/>
          <w:b/>
          <w:sz w:val="20"/>
          <w:szCs w:val="20"/>
          <w:lang w:val="en-GB"/>
        </w:rPr>
      </w:pPr>
    </w:p>
    <w:p w:rsidR="00EC38E3" w:rsidRDefault="00EC38E3" w:rsidP="00EC38E3">
      <w:pPr>
        <w:suppressAutoHyphens/>
        <w:spacing w:line="270" w:lineRule="exact"/>
        <w:jc w:val="both"/>
        <w:rPr>
          <w:rFonts w:ascii="Arial" w:hAnsi="Arial" w:cs="Arial"/>
          <w:b/>
          <w:sz w:val="20"/>
          <w:szCs w:val="20"/>
          <w:lang w:val="en-GB"/>
        </w:rPr>
      </w:pPr>
    </w:p>
    <w:p w:rsidR="00EC38E3" w:rsidRDefault="00EC38E3" w:rsidP="00EC38E3">
      <w:pPr>
        <w:suppressAutoHyphens/>
        <w:spacing w:line="270" w:lineRule="exact"/>
        <w:jc w:val="both"/>
        <w:rPr>
          <w:rFonts w:ascii="Arial" w:hAnsi="Arial" w:cs="Arial"/>
          <w:b/>
          <w:sz w:val="20"/>
          <w:szCs w:val="20"/>
          <w:lang w:val="en-GB"/>
        </w:rPr>
      </w:pPr>
    </w:p>
    <w:p w:rsidR="00EC38E3" w:rsidRDefault="00EC38E3" w:rsidP="00EC38E3">
      <w:pPr>
        <w:suppressAutoHyphens/>
        <w:spacing w:line="270" w:lineRule="exact"/>
        <w:jc w:val="both"/>
        <w:rPr>
          <w:rFonts w:ascii="Arial" w:hAnsi="Arial" w:cs="Arial"/>
          <w:b/>
          <w:sz w:val="20"/>
          <w:szCs w:val="20"/>
          <w:lang w:val="en-GB"/>
        </w:rPr>
      </w:pPr>
    </w:p>
    <w:p w:rsidR="00EC38E3" w:rsidRPr="00EC38E3" w:rsidRDefault="00EC38E3" w:rsidP="00EC38E3">
      <w:pPr>
        <w:suppressAutoHyphens/>
        <w:spacing w:line="270" w:lineRule="exact"/>
        <w:jc w:val="both"/>
        <w:rPr>
          <w:rFonts w:ascii="Arial" w:hAnsi="Arial" w:cs="Arial"/>
          <w:b/>
          <w:sz w:val="20"/>
          <w:szCs w:val="20"/>
          <w:lang w:val="en-GB"/>
        </w:rPr>
      </w:pPr>
    </w:p>
    <w:p w:rsidR="00EC38E3" w:rsidRPr="00EC38E3" w:rsidRDefault="00EC38E3" w:rsidP="00EC38E3">
      <w:pPr>
        <w:suppressAutoHyphens/>
        <w:spacing w:line="270" w:lineRule="exact"/>
        <w:jc w:val="both"/>
        <w:rPr>
          <w:rFonts w:ascii="Arial" w:hAnsi="Arial" w:cs="Arial"/>
          <w:sz w:val="20"/>
          <w:szCs w:val="20"/>
          <w:lang w:val="en-GB"/>
        </w:rPr>
      </w:pPr>
      <w:r w:rsidRPr="00EC38E3">
        <w:rPr>
          <w:rFonts w:ascii="Arial" w:hAnsi="Arial" w:cs="Arial"/>
          <w:sz w:val="20"/>
          <w:szCs w:val="20"/>
          <w:lang w:val="en-GB"/>
        </w:rPr>
        <w:t xml:space="preserve"> </w:t>
      </w:r>
    </w:p>
    <w:p w:rsidR="00EC38E3" w:rsidRDefault="00EC38E3" w:rsidP="00EC38E3">
      <w:pPr>
        <w:suppressAutoHyphens/>
        <w:spacing w:line="270" w:lineRule="exact"/>
        <w:jc w:val="both"/>
        <w:rPr>
          <w:rFonts w:ascii="Arial" w:hAnsi="Arial" w:cs="Arial"/>
          <w:sz w:val="20"/>
          <w:szCs w:val="20"/>
          <w:lang w:val="en-GB"/>
        </w:rPr>
      </w:pPr>
    </w:p>
    <w:p w:rsidR="00EC38E3" w:rsidRDefault="00EC38E3" w:rsidP="00EC38E3">
      <w:pPr>
        <w:suppressAutoHyphens/>
        <w:spacing w:line="270" w:lineRule="exact"/>
        <w:jc w:val="both"/>
        <w:rPr>
          <w:rFonts w:ascii="Arial" w:hAnsi="Arial" w:cs="Arial"/>
          <w:sz w:val="20"/>
          <w:szCs w:val="20"/>
          <w:lang w:val="en-GB"/>
        </w:rPr>
      </w:pPr>
    </w:p>
    <w:p w:rsidR="00EC38E3" w:rsidRDefault="00EC38E3" w:rsidP="00EC38E3">
      <w:pPr>
        <w:suppressAutoHyphens/>
        <w:spacing w:line="270" w:lineRule="exact"/>
        <w:jc w:val="both"/>
        <w:rPr>
          <w:rFonts w:ascii="Arial" w:hAnsi="Arial" w:cs="Arial"/>
          <w:sz w:val="20"/>
          <w:szCs w:val="20"/>
          <w:lang w:val="en-GB"/>
        </w:rPr>
      </w:pPr>
    </w:p>
    <w:p w:rsidR="00EC38E3" w:rsidRPr="00EC38E3" w:rsidRDefault="00EC38E3" w:rsidP="00EC38E3">
      <w:pPr>
        <w:suppressAutoHyphens/>
        <w:spacing w:line="270" w:lineRule="exact"/>
        <w:jc w:val="both"/>
        <w:rPr>
          <w:rFonts w:ascii="Arial" w:hAnsi="Arial" w:cs="Arial"/>
          <w:sz w:val="20"/>
          <w:szCs w:val="20"/>
          <w:lang w:val="en-GB"/>
        </w:rPr>
      </w:pPr>
    </w:p>
    <w:p w:rsidR="00EC38E3" w:rsidRPr="00EC38E3" w:rsidRDefault="00EC38E3" w:rsidP="00EC38E3">
      <w:pPr>
        <w:suppressAutoHyphens/>
        <w:spacing w:line="270" w:lineRule="exact"/>
        <w:jc w:val="both"/>
        <w:rPr>
          <w:rFonts w:ascii="Arial" w:hAnsi="Arial" w:cs="Arial"/>
          <w:sz w:val="20"/>
          <w:szCs w:val="20"/>
          <w:lang w:val="en-GB"/>
        </w:rPr>
      </w:pPr>
      <w:r w:rsidRPr="00EC38E3">
        <w:rPr>
          <w:rFonts w:ascii="Arial" w:hAnsi="Arial" w:cs="Arial"/>
          <w:sz w:val="20"/>
          <w:szCs w:val="20"/>
          <w:lang w:val="en-GB"/>
        </w:rPr>
        <w:lastRenderedPageBreak/>
        <w:t>Earlier this year, Dubai managed to refinance its maturing debt</w:t>
      </w:r>
      <w:r w:rsidR="00E01086">
        <w:rPr>
          <w:rFonts w:ascii="Arial" w:hAnsi="Arial" w:cs="Arial"/>
          <w:sz w:val="20"/>
          <w:szCs w:val="20"/>
          <w:lang w:val="en-GB"/>
        </w:rPr>
        <w:t xml:space="preserve"> (around USD</w:t>
      </w:r>
      <w:r w:rsidR="007D3A99">
        <w:rPr>
          <w:rFonts w:ascii="Arial" w:hAnsi="Arial" w:cs="Arial"/>
          <w:sz w:val="20"/>
          <w:szCs w:val="20"/>
          <w:lang w:val="en-GB"/>
        </w:rPr>
        <w:t xml:space="preserve"> </w:t>
      </w:r>
      <w:r w:rsidR="00E01086">
        <w:rPr>
          <w:rFonts w:ascii="Arial" w:hAnsi="Arial" w:cs="Arial"/>
          <w:sz w:val="20"/>
          <w:szCs w:val="20"/>
          <w:lang w:val="en-GB"/>
        </w:rPr>
        <w:t xml:space="preserve">20 billion) </w:t>
      </w:r>
      <w:r w:rsidR="00E01086" w:rsidRPr="00EC38E3">
        <w:rPr>
          <w:rFonts w:ascii="Arial" w:hAnsi="Arial" w:cs="Arial"/>
          <w:sz w:val="20"/>
          <w:szCs w:val="20"/>
          <w:lang w:val="en-GB"/>
        </w:rPr>
        <w:t>with Abu Dhabi and the UAE central bank</w:t>
      </w:r>
      <w:r w:rsidR="00E01086">
        <w:rPr>
          <w:rFonts w:ascii="Arial" w:hAnsi="Arial" w:cs="Arial"/>
          <w:sz w:val="20"/>
          <w:szCs w:val="20"/>
          <w:lang w:val="en-GB"/>
        </w:rPr>
        <w:t>, under favourable conditions</w:t>
      </w:r>
      <w:r w:rsidRPr="00EC38E3">
        <w:rPr>
          <w:rFonts w:ascii="Arial" w:hAnsi="Arial" w:cs="Arial"/>
          <w:sz w:val="20"/>
          <w:szCs w:val="20"/>
          <w:lang w:val="en-GB"/>
        </w:rPr>
        <w:t>. However</w:t>
      </w:r>
      <w:r w:rsidR="00E01086">
        <w:rPr>
          <w:rFonts w:ascii="Arial" w:hAnsi="Arial" w:cs="Arial"/>
          <w:sz w:val="20"/>
          <w:szCs w:val="20"/>
          <w:lang w:val="en-GB"/>
        </w:rPr>
        <w:t>,</w:t>
      </w:r>
      <w:r w:rsidRPr="00EC38E3">
        <w:rPr>
          <w:rFonts w:ascii="Arial" w:hAnsi="Arial" w:cs="Arial"/>
          <w:sz w:val="20"/>
          <w:szCs w:val="20"/>
          <w:lang w:val="en-GB"/>
        </w:rPr>
        <w:t xml:space="preserve"> the debt burden of the entire public sector in Dubai is still heavy, with significant amounts becoming due in the next few years (</w:t>
      </w:r>
      <w:r w:rsidR="00E01086">
        <w:rPr>
          <w:rFonts w:ascii="Arial" w:hAnsi="Arial" w:cs="Arial"/>
          <w:sz w:val="20"/>
          <w:szCs w:val="20"/>
          <w:lang w:val="en-GB"/>
        </w:rPr>
        <w:t>almost</w:t>
      </w:r>
      <w:r w:rsidR="00E01086" w:rsidRPr="00EC38E3">
        <w:rPr>
          <w:rFonts w:ascii="Arial" w:hAnsi="Arial" w:cs="Arial"/>
          <w:sz w:val="20"/>
          <w:szCs w:val="20"/>
          <w:lang w:val="en-GB"/>
        </w:rPr>
        <w:t xml:space="preserve"> </w:t>
      </w:r>
      <w:r w:rsidRPr="00EC38E3">
        <w:rPr>
          <w:rFonts w:ascii="Arial" w:hAnsi="Arial" w:cs="Arial"/>
          <w:sz w:val="20"/>
          <w:szCs w:val="20"/>
          <w:lang w:val="en-GB"/>
        </w:rPr>
        <w:t xml:space="preserve">40 billion USD between 2015 and 2017). </w:t>
      </w:r>
    </w:p>
    <w:p w:rsidR="00EC38E3" w:rsidRPr="00EC38E3" w:rsidRDefault="00EC38E3" w:rsidP="00EC38E3">
      <w:pPr>
        <w:suppressAutoHyphens/>
        <w:spacing w:line="270" w:lineRule="exact"/>
        <w:jc w:val="both"/>
        <w:rPr>
          <w:rFonts w:ascii="Arial" w:hAnsi="Arial" w:cs="Arial"/>
          <w:sz w:val="20"/>
          <w:szCs w:val="20"/>
          <w:lang w:val="en-GB"/>
        </w:rPr>
      </w:pPr>
    </w:p>
    <w:p w:rsidR="00EC38E3" w:rsidRPr="00EC38E3" w:rsidRDefault="00EC38E3" w:rsidP="00EC38E3">
      <w:pPr>
        <w:suppressAutoHyphens/>
        <w:spacing w:line="270" w:lineRule="exact"/>
        <w:jc w:val="both"/>
        <w:rPr>
          <w:rFonts w:ascii="Arial" w:hAnsi="Arial" w:cs="Arial"/>
          <w:sz w:val="20"/>
          <w:szCs w:val="20"/>
          <w:lang w:val="en-GB"/>
        </w:rPr>
      </w:pPr>
      <w:r w:rsidRPr="00EC38E3">
        <w:rPr>
          <w:rFonts w:ascii="Arial" w:hAnsi="Arial" w:cs="Arial"/>
          <w:sz w:val="20"/>
          <w:szCs w:val="20"/>
          <w:lang w:val="en-GB"/>
        </w:rPr>
        <w:t xml:space="preserve">The introduction of regulatory measures by the authorities, aimed at avoiding another </w:t>
      </w:r>
      <w:r w:rsidR="00E01086">
        <w:rPr>
          <w:rFonts w:ascii="Arial" w:hAnsi="Arial" w:cs="Arial"/>
          <w:sz w:val="20"/>
          <w:szCs w:val="20"/>
          <w:lang w:val="en-GB"/>
        </w:rPr>
        <w:t>real estate</w:t>
      </w:r>
      <w:r w:rsidR="00E01086" w:rsidRPr="00EC38E3">
        <w:rPr>
          <w:rFonts w:ascii="Arial" w:hAnsi="Arial" w:cs="Arial"/>
          <w:sz w:val="20"/>
          <w:szCs w:val="20"/>
          <w:lang w:val="en-GB"/>
        </w:rPr>
        <w:t xml:space="preserve"> </w:t>
      </w:r>
      <w:r w:rsidRPr="00EC38E3">
        <w:rPr>
          <w:rFonts w:ascii="Arial" w:hAnsi="Arial" w:cs="Arial"/>
          <w:sz w:val="20"/>
          <w:szCs w:val="20"/>
          <w:lang w:val="en-GB"/>
        </w:rPr>
        <w:t xml:space="preserve">bubble, is also promising for the country’s economy. </w:t>
      </w:r>
      <w:r w:rsidR="00E01086">
        <w:rPr>
          <w:rFonts w:ascii="Arial" w:hAnsi="Arial" w:cs="Arial"/>
          <w:sz w:val="20"/>
          <w:szCs w:val="20"/>
          <w:lang w:val="en-GB"/>
        </w:rPr>
        <w:t>In addition, t</w:t>
      </w:r>
      <w:r w:rsidRPr="00EC38E3">
        <w:rPr>
          <w:rFonts w:ascii="Arial" w:hAnsi="Arial" w:cs="Arial"/>
          <w:sz w:val="20"/>
          <w:szCs w:val="20"/>
          <w:lang w:val="en-GB"/>
        </w:rPr>
        <w:t xml:space="preserve">he introduction of </w:t>
      </w:r>
      <w:r w:rsidR="00E01086">
        <w:rPr>
          <w:rFonts w:ascii="Arial" w:hAnsi="Arial" w:cs="Arial"/>
          <w:sz w:val="20"/>
          <w:szCs w:val="20"/>
          <w:lang w:val="en-GB"/>
        </w:rPr>
        <w:t xml:space="preserve">a </w:t>
      </w:r>
      <w:r w:rsidRPr="00EC38E3">
        <w:rPr>
          <w:rFonts w:ascii="Arial" w:hAnsi="Arial" w:cs="Arial"/>
          <w:sz w:val="20"/>
          <w:szCs w:val="20"/>
          <w:lang w:val="en-GB"/>
        </w:rPr>
        <w:t xml:space="preserve">new </w:t>
      </w:r>
      <w:r w:rsidR="00E01086">
        <w:rPr>
          <w:rFonts w:ascii="Arial" w:hAnsi="Arial" w:cs="Arial"/>
          <w:sz w:val="20"/>
          <w:szCs w:val="20"/>
          <w:lang w:val="en-GB"/>
        </w:rPr>
        <w:t>company</w:t>
      </w:r>
      <w:r w:rsidRPr="00EC38E3">
        <w:rPr>
          <w:rFonts w:ascii="Arial" w:hAnsi="Arial" w:cs="Arial"/>
          <w:sz w:val="20"/>
          <w:szCs w:val="20"/>
          <w:lang w:val="en-GB"/>
        </w:rPr>
        <w:t xml:space="preserve"> </w:t>
      </w:r>
      <w:r w:rsidR="00BE0ED0">
        <w:rPr>
          <w:rFonts w:ascii="Arial" w:hAnsi="Arial" w:cs="Arial"/>
          <w:sz w:val="20"/>
          <w:szCs w:val="20"/>
          <w:lang w:val="en-GB"/>
        </w:rPr>
        <w:t>l</w:t>
      </w:r>
      <w:r w:rsidRPr="00EC38E3">
        <w:rPr>
          <w:rFonts w:ascii="Arial" w:hAnsi="Arial" w:cs="Arial"/>
          <w:sz w:val="20"/>
          <w:szCs w:val="20"/>
          <w:lang w:val="en-GB"/>
        </w:rPr>
        <w:t xml:space="preserve">aw, </w:t>
      </w:r>
      <w:r w:rsidR="00C30CC1">
        <w:rPr>
          <w:rFonts w:ascii="Arial" w:hAnsi="Arial" w:cs="Arial"/>
          <w:sz w:val="20"/>
          <w:szCs w:val="20"/>
          <w:lang w:val="en-GB"/>
        </w:rPr>
        <w:t>which will gradually</w:t>
      </w:r>
      <w:r w:rsidRPr="00EC38E3">
        <w:rPr>
          <w:rFonts w:ascii="Arial" w:hAnsi="Arial" w:cs="Arial"/>
          <w:sz w:val="20"/>
          <w:szCs w:val="20"/>
          <w:lang w:val="en-GB"/>
        </w:rPr>
        <w:t xml:space="preserve"> reform corporate governance, is seen as major progress. However</w:t>
      </w:r>
      <w:r w:rsidR="00C30CC1">
        <w:rPr>
          <w:rFonts w:ascii="Arial" w:hAnsi="Arial" w:cs="Arial"/>
          <w:sz w:val="20"/>
          <w:szCs w:val="20"/>
          <w:lang w:val="en-GB"/>
        </w:rPr>
        <w:t>,</w:t>
      </w:r>
      <w:r w:rsidRPr="00EC38E3">
        <w:rPr>
          <w:rFonts w:ascii="Arial" w:hAnsi="Arial" w:cs="Arial"/>
          <w:sz w:val="20"/>
          <w:szCs w:val="20"/>
          <w:lang w:val="en-GB"/>
        </w:rPr>
        <w:t xml:space="preserve"> there is still room for improvement, as </w:t>
      </w:r>
      <w:r w:rsidR="00C30CC1">
        <w:rPr>
          <w:rFonts w:ascii="Arial" w:hAnsi="Arial" w:cs="Arial"/>
          <w:sz w:val="20"/>
          <w:szCs w:val="20"/>
          <w:lang w:val="en-GB"/>
        </w:rPr>
        <w:t xml:space="preserve">company </w:t>
      </w:r>
      <w:r w:rsidRPr="00EC38E3">
        <w:rPr>
          <w:rFonts w:ascii="Arial" w:hAnsi="Arial" w:cs="Arial"/>
          <w:sz w:val="20"/>
          <w:szCs w:val="20"/>
          <w:lang w:val="en-GB"/>
        </w:rPr>
        <w:t xml:space="preserve">financial accounts are rarely available - with the exception of </w:t>
      </w:r>
      <w:r w:rsidR="00C30CC1">
        <w:rPr>
          <w:rFonts w:ascii="Arial" w:hAnsi="Arial" w:cs="Arial"/>
          <w:sz w:val="20"/>
          <w:szCs w:val="20"/>
          <w:lang w:val="en-GB"/>
        </w:rPr>
        <w:t xml:space="preserve">those of </w:t>
      </w:r>
      <w:r w:rsidR="00C30CC1" w:rsidRPr="00EC38E3">
        <w:rPr>
          <w:rFonts w:ascii="Arial" w:hAnsi="Arial" w:cs="Arial"/>
          <w:sz w:val="20"/>
          <w:szCs w:val="20"/>
          <w:lang w:val="en-GB"/>
        </w:rPr>
        <w:t xml:space="preserve">large </w:t>
      </w:r>
      <w:r w:rsidRPr="00EC38E3">
        <w:rPr>
          <w:rFonts w:ascii="Arial" w:hAnsi="Arial" w:cs="Arial"/>
          <w:sz w:val="20"/>
          <w:szCs w:val="20"/>
          <w:lang w:val="en-GB"/>
        </w:rPr>
        <w:t>international groups.</w:t>
      </w:r>
    </w:p>
    <w:p w:rsidR="00EC38E3" w:rsidRPr="00EC38E3" w:rsidRDefault="00EC38E3" w:rsidP="00EC38E3">
      <w:pPr>
        <w:suppressAutoHyphens/>
        <w:spacing w:line="270" w:lineRule="exact"/>
        <w:jc w:val="both"/>
        <w:rPr>
          <w:rFonts w:ascii="Arial" w:hAnsi="Arial" w:cs="Arial"/>
          <w:sz w:val="20"/>
          <w:szCs w:val="20"/>
          <w:lang w:val="en-GB"/>
        </w:rPr>
      </w:pPr>
    </w:p>
    <w:p w:rsidR="00EC38E3" w:rsidRPr="00EC38E3" w:rsidRDefault="00C30CC1" w:rsidP="00EC38E3">
      <w:pPr>
        <w:suppressAutoHyphens/>
        <w:spacing w:line="270" w:lineRule="exact"/>
        <w:jc w:val="both"/>
        <w:rPr>
          <w:rFonts w:ascii="Arial" w:hAnsi="Arial" w:cs="Arial"/>
          <w:b/>
          <w:sz w:val="20"/>
          <w:szCs w:val="20"/>
          <w:lang w:val="en-GB"/>
        </w:rPr>
      </w:pPr>
      <w:r>
        <w:rPr>
          <w:rFonts w:ascii="Arial" w:hAnsi="Arial" w:cs="Arial"/>
          <w:b/>
          <w:sz w:val="20"/>
          <w:szCs w:val="20"/>
          <w:lang w:val="en-GB"/>
        </w:rPr>
        <w:t xml:space="preserve">Oil </w:t>
      </w:r>
      <w:r w:rsidR="00EC38E3" w:rsidRPr="00EC38E3">
        <w:rPr>
          <w:rFonts w:ascii="Arial" w:hAnsi="Arial" w:cs="Arial"/>
          <w:b/>
          <w:sz w:val="20"/>
          <w:szCs w:val="20"/>
          <w:lang w:val="en-GB"/>
        </w:rPr>
        <w:t xml:space="preserve">sector: </w:t>
      </w:r>
      <w:r w:rsidR="00EC38E3">
        <w:rPr>
          <w:rFonts w:ascii="Arial" w:hAnsi="Arial" w:cs="Arial"/>
          <w:b/>
          <w:sz w:val="20"/>
          <w:szCs w:val="20"/>
          <w:lang w:val="en-GB"/>
        </w:rPr>
        <w:t>k</w:t>
      </w:r>
      <w:r w:rsidR="00EC38E3" w:rsidRPr="00EC38E3">
        <w:rPr>
          <w:rFonts w:ascii="Arial" w:hAnsi="Arial" w:cs="Arial"/>
          <w:b/>
          <w:sz w:val="20"/>
          <w:szCs w:val="20"/>
          <w:lang w:val="en-GB"/>
        </w:rPr>
        <w:t xml:space="preserve">ey contributor to the growth </w:t>
      </w:r>
    </w:p>
    <w:p w:rsidR="00EC38E3" w:rsidRPr="00EC38E3" w:rsidRDefault="00EC38E3" w:rsidP="00EC38E3">
      <w:pPr>
        <w:suppressAutoHyphens/>
        <w:spacing w:line="270" w:lineRule="exact"/>
        <w:jc w:val="both"/>
        <w:rPr>
          <w:rFonts w:ascii="Arial" w:hAnsi="Arial" w:cs="Arial"/>
          <w:sz w:val="20"/>
          <w:szCs w:val="20"/>
          <w:lang w:val="en-GB"/>
        </w:rPr>
      </w:pPr>
    </w:p>
    <w:p w:rsidR="00EC38E3" w:rsidRPr="00EC38E3" w:rsidRDefault="00EC38E3" w:rsidP="00EC38E3">
      <w:pPr>
        <w:suppressAutoHyphens/>
        <w:spacing w:line="270" w:lineRule="exact"/>
        <w:jc w:val="both"/>
        <w:rPr>
          <w:rFonts w:ascii="Arial" w:hAnsi="Arial" w:cs="Arial"/>
          <w:sz w:val="20"/>
          <w:szCs w:val="20"/>
          <w:lang w:val="en-GB"/>
        </w:rPr>
      </w:pPr>
      <w:r w:rsidRPr="00EC38E3">
        <w:rPr>
          <w:rFonts w:ascii="Arial" w:hAnsi="Arial" w:cs="Arial"/>
          <w:sz w:val="20"/>
          <w:szCs w:val="20"/>
          <w:lang w:val="en-GB"/>
        </w:rPr>
        <w:t xml:space="preserve">The UAE produces 3.5 percent of the world’s crude oil, representing 7 percent of proven reserves, and is ranked 7th in the world and 4th within the OPEC countries. In 2013, the </w:t>
      </w:r>
      <w:r w:rsidR="00C30CC1">
        <w:rPr>
          <w:rFonts w:ascii="Arial" w:hAnsi="Arial" w:cs="Arial"/>
          <w:sz w:val="20"/>
          <w:szCs w:val="20"/>
          <w:lang w:val="en-GB"/>
        </w:rPr>
        <w:t>oil</w:t>
      </w:r>
      <w:r w:rsidR="00C30CC1" w:rsidRPr="00EC38E3">
        <w:rPr>
          <w:rFonts w:ascii="Arial" w:hAnsi="Arial" w:cs="Arial"/>
          <w:sz w:val="20"/>
          <w:szCs w:val="20"/>
          <w:lang w:val="en-GB"/>
        </w:rPr>
        <w:t xml:space="preserve"> </w:t>
      </w:r>
      <w:r w:rsidRPr="00EC38E3">
        <w:rPr>
          <w:rFonts w:ascii="Arial" w:hAnsi="Arial" w:cs="Arial"/>
          <w:sz w:val="20"/>
          <w:szCs w:val="20"/>
          <w:lang w:val="en-GB"/>
        </w:rPr>
        <w:t xml:space="preserve">sector accounted for one-third of GDP and </w:t>
      </w:r>
      <w:r w:rsidR="00C30CC1">
        <w:rPr>
          <w:rFonts w:ascii="Arial" w:hAnsi="Arial" w:cs="Arial"/>
          <w:sz w:val="20"/>
          <w:szCs w:val="20"/>
          <w:lang w:val="en-GB"/>
        </w:rPr>
        <w:t>oil</w:t>
      </w:r>
      <w:r w:rsidR="00C30CC1" w:rsidRPr="00EC38E3">
        <w:rPr>
          <w:rFonts w:ascii="Arial" w:hAnsi="Arial" w:cs="Arial"/>
          <w:sz w:val="20"/>
          <w:szCs w:val="20"/>
          <w:lang w:val="en-GB"/>
        </w:rPr>
        <w:t xml:space="preserve"> </w:t>
      </w:r>
      <w:r w:rsidRPr="00EC38E3">
        <w:rPr>
          <w:rFonts w:ascii="Arial" w:hAnsi="Arial" w:cs="Arial"/>
          <w:sz w:val="20"/>
          <w:szCs w:val="20"/>
          <w:lang w:val="en-GB"/>
        </w:rPr>
        <w:t xml:space="preserve">exports were approximately one-third of total exports. The UAE’s public finances remain highly dependent on </w:t>
      </w:r>
      <w:r w:rsidR="00C30CC1">
        <w:rPr>
          <w:rFonts w:ascii="Arial" w:hAnsi="Arial" w:cs="Arial"/>
          <w:sz w:val="20"/>
          <w:szCs w:val="20"/>
          <w:lang w:val="en-GB"/>
        </w:rPr>
        <w:t>oil</w:t>
      </w:r>
      <w:r w:rsidR="00C30CC1" w:rsidRPr="00EC38E3">
        <w:rPr>
          <w:rFonts w:ascii="Arial" w:hAnsi="Arial" w:cs="Arial"/>
          <w:sz w:val="20"/>
          <w:szCs w:val="20"/>
          <w:lang w:val="en-GB"/>
        </w:rPr>
        <w:t xml:space="preserve"> </w:t>
      </w:r>
      <w:r w:rsidRPr="00EC38E3">
        <w:rPr>
          <w:rFonts w:ascii="Arial" w:hAnsi="Arial" w:cs="Arial"/>
          <w:sz w:val="20"/>
          <w:szCs w:val="20"/>
          <w:lang w:val="en-GB"/>
        </w:rPr>
        <w:t>revenues, despite on</w:t>
      </w:r>
      <w:r w:rsidR="00C30CC1">
        <w:rPr>
          <w:rFonts w:ascii="Arial" w:hAnsi="Arial" w:cs="Arial"/>
          <w:sz w:val="20"/>
          <w:szCs w:val="20"/>
          <w:lang w:val="en-GB"/>
        </w:rPr>
        <w:t>-</w:t>
      </w:r>
      <w:r w:rsidRPr="00EC38E3">
        <w:rPr>
          <w:rFonts w:ascii="Arial" w:hAnsi="Arial" w:cs="Arial"/>
          <w:sz w:val="20"/>
          <w:szCs w:val="20"/>
          <w:lang w:val="en-GB"/>
        </w:rPr>
        <w:t xml:space="preserve">going diversification </w:t>
      </w:r>
      <w:r w:rsidR="00C30CC1">
        <w:rPr>
          <w:rFonts w:ascii="Arial" w:hAnsi="Arial" w:cs="Arial"/>
          <w:sz w:val="20"/>
          <w:szCs w:val="20"/>
          <w:lang w:val="en-GB"/>
        </w:rPr>
        <w:t>of</w:t>
      </w:r>
      <w:r w:rsidR="00C30CC1" w:rsidRPr="00EC38E3">
        <w:rPr>
          <w:rFonts w:ascii="Arial" w:hAnsi="Arial" w:cs="Arial"/>
          <w:sz w:val="20"/>
          <w:szCs w:val="20"/>
          <w:lang w:val="en-GB"/>
        </w:rPr>
        <w:t xml:space="preserve"> </w:t>
      </w:r>
      <w:r w:rsidRPr="00EC38E3">
        <w:rPr>
          <w:rFonts w:ascii="Arial" w:hAnsi="Arial" w:cs="Arial"/>
          <w:sz w:val="20"/>
          <w:szCs w:val="20"/>
          <w:lang w:val="en-GB"/>
        </w:rPr>
        <w:t xml:space="preserve">the economy. Oil accounted for almost 80 percent of </w:t>
      </w:r>
      <w:r w:rsidR="00C30CC1">
        <w:rPr>
          <w:rFonts w:ascii="Arial" w:hAnsi="Arial" w:cs="Arial"/>
          <w:sz w:val="20"/>
          <w:szCs w:val="20"/>
          <w:lang w:val="en-GB"/>
        </w:rPr>
        <w:t>fiscal</w:t>
      </w:r>
      <w:r w:rsidRPr="00EC38E3">
        <w:rPr>
          <w:rFonts w:ascii="Arial" w:hAnsi="Arial" w:cs="Arial"/>
          <w:sz w:val="20"/>
          <w:szCs w:val="20"/>
          <w:lang w:val="en-GB"/>
        </w:rPr>
        <w:t xml:space="preserve"> revenues in 2013. The main </w:t>
      </w:r>
      <w:proofErr w:type="gramStart"/>
      <w:r w:rsidRPr="00EC38E3">
        <w:rPr>
          <w:rFonts w:ascii="Arial" w:hAnsi="Arial" w:cs="Arial"/>
          <w:sz w:val="20"/>
          <w:szCs w:val="20"/>
          <w:lang w:val="en-GB"/>
        </w:rPr>
        <w:t xml:space="preserve">risks in this sector </w:t>
      </w:r>
      <w:r w:rsidR="00C30CC1">
        <w:rPr>
          <w:rFonts w:ascii="Arial" w:hAnsi="Arial" w:cs="Arial"/>
          <w:sz w:val="20"/>
          <w:szCs w:val="20"/>
          <w:lang w:val="en-GB"/>
        </w:rPr>
        <w:t>is</w:t>
      </w:r>
      <w:proofErr w:type="gramEnd"/>
      <w:r w:rsidR="00C30CC1" w:rsidRPr="00EC38E3">
        <w:rPr>
          <w:rFonts w:ascii="Arial" w:hAnsi="Arial" w:cs="Arial"/>
          <w:sz w:val="20"/>
          <w:szCs w:val="20"/>
          <w:lang w:val="en-GB"/>
        </w:rPr>
        <w:t xml:space="preserve"> </w:t>
      </w:r>
      <w:r w:rsidR="00C30CC1">
        <w:rPr>
          <w:rFonts w:ascii="Arial" w:hAnsi="Arial" w:cs="Arial"/>
          <w:sz w:val="20"/>
          <w:szCs w:val="20"/>
          <w:lang w:val="en-GB"/>
        </w:rPr>
        <w:t>the dependence of</w:t>
      </w:r>
      <w:r w:rsidR="00C30CC1" w:rsidRPr="00EC38E3">
        <w:rPr>
          <w:rFonts w:ascii="Arial" w:hAnsi="Arial" w:cs="Arial"/>
          <w:sz w:val="20"/>
          <w:szCs w:val="20"/>
          <w:lang w:val="en-GB"/>
        </w:rPr>
        <w:t xml:space="preserve"> </w:t>
      </w:r>
      <w:r w:rsidRPr="00EC38E3">
        <w:rPr>
          <w:rFonts w:ascii="Arial" w:hAnsi="Arial" w:cs="Arial"/>
          <w:sz w:val="20"/>
          <w:szCs w:val="20"/>
          <w:lang w:val="en-GB"/>
        </w:rPr>
        <w:t xml:space="preserve">corporate profitability on government </w:t>
      </w:r>
      <w:r w:rsidR="00C30CC1">
        <w:rPr>
          <w:rFonts w:ascii="Arial" w:hAnsi="Arial" w:cs="Arial"/>
          <w:sz w:val="20"/>
          <w:szCs w:val="20"/>
          <w:lang w:val="en-GB"/>
        </w:rPr>
        <w:t>subsidies</w:t>
      </w:r>
      <w:r w:rsidR="00C30CC1" w:rsidRPr="00EC38E3">
        <w:rPr>
          <w:rFonts w:ascii="Arial" w:hAnsi="Arial" w:cs="Arial"/>
          <w:sz w:val="20"/>
          <w:szCs w:val="20"/>
          <w:lang w:val="en-GB"/>
        </w:rPr>
        <w:t xml:space="preserve"> </w:t>
      </w:r>
      <w:r w:rsidRPr="00EC38E3">
        <w:rPr>
          <w:rFonts w:ascii="Arial" w:hAnsi="Arial" w:cs="Arial"/>
          <w:sz w:val="20"/>
          <w:szCs w:val="20"/>
          <w:lang w:val="en-GB"/>
        </w:rPr>
        <w:t xml:space="preserve">and the balancing of the country’s </w:t>
      </w:r>
      <w:r w:rsidR="00C30CC1">
        <w:rPr>
          <w:rFonts w:ascii="Arial" w:hAnsi="Arial" w:cs="Arial"/>
          <w:sz w:val="20"/>
          <w:szCs w:val="20"/>
          <w:lang w:val="en-GB"/>
        </w:rPr>
        <w:t>oil</w:t>
      </w:r>
      <w:r w:rsidR="00C30CC1" w:rsidRPr="00EC38E3">
        <w:rPr>
          <w:rFonts w:ascii="Arial" w:hAnsi="Arial" w:cs="Arial"/>
          <w:sz w:val="20"/>
          <w:szCs w:val="20"/>
          <w:lang w:val="en-GB"/>
        </w:rPr>
        <w:t xml:space="preserve"> </w:t>
      </w:r>
      <w:r w:rsidRPr="00EC38E3">
        <w:rPr>
          <w:rFonts w:ascii="Arial" w:hAnsi="Arial" w:cs="Arial"/>
          <w:sz w:val="20"/>
          <w:szCs w:val="20"/>
          <w:lang w:val="en-GB"/>
        </w:rPr>
        <w:t xml:space="preserve">supply and demand. Regional conflicts </w:t>
      </w:r>
      <w:r w:rsidR="00C30CC1">
        <w:rPr>
          <w:rFonts w:ascii="Arial" w:hAnsi="Arial" w:cs="Arial"/>
          <w:sz w:val="20"/>
          <w:szCs w:val="20"/>
          <w:lang w:val="en-GB"/>
        </w:rPr>
        <w:t>may</w:t>
      </w:r>
      <w:r w:rsidR="00C30CC1" w:rsidRPr="00EC38E3">
        <w:rPr>
          <w:rFonts w:ascii="Arial" w:hAnsi="Arial" w:cs="Arial"/>
          <w:sz w:val="20"/>
          <w:szCs w:val="20"/>
          <w:lang w:val="en-GB"/>
        </w:rPr>
        <w:t xml:space="preserve"> </w:t>
      </w:r>
      <w:r w:rsidRPr="00EC38E3">
        <w:rPr>
          <w:rFonts w:ascii="Arial" w:hAnsi="Arial" w:cs="Arial"/>
          <w:sz w:val="20"/>
          <w:szCs w:val="20"/>
          <w:lang w:val="en-GB"/>
        </w:rPr>
        <w:t>also represent a source of risk.</w:t>
      </w:r>
    </w:p>
    <w:p w:rsidR="00EC38E3" w:rsidRPr="00EC38E3" w:rsidRDefault="00EC38E3" w:rsidP="00EC38E3">
      <w:pPr>
        <w:suppressAutoHyphens/>
        <w:spacing w:line="270" w:lineRule="exact"/>
        <w:jc w:val="both"/>
        <w:rPr>
          <w:rFonts w:ascii="Arial" w:hAnsi="Arial" w:cs="Arial"/>
          <w:sz w:val="20"/>
          <w:szCs w:val="20"/>
          <w:lang w:val="en-GB"/>
        </w:rPr>
      </w:pPr>
    </w:p>
    <w:p w:rsidR="00EC38E3" w:rsidRPr="00EC38E3" w:rsidRDefault="00EC38E3" w:rsidP="00EC38E3">
      <w:pPr>
        <w:suppressAutoHyphens/>
        <w:spacing w:line="270" w:lineRule="exact"/>
        <w:jc w:val="both"/>
        <w:rPr>
          <w:rFonts w:ascii="Arial" w:hAnsi="Arial" w:cs="Arial"/>
          <w:b/>
          <w:sz w:val="20"/>
          <w:szCs w:val="20"/>
          <w:lang w:val="en-GB"/>
        </w:rPr>
      </w:pPr>
      <w:r w:rsidRPr="00EC38E3">
        <w:rPr>
          <w:rFonts w:ascii="Arial" w:hAnsi="Arial" w:cs="Arial"/>
          <w:b/>
          <w:sz w:val="20"/>
          <w:szCs w:val="20"/>
          <w:lang w:val="en-GB"/>
        </w:rPr>
        <w:t>Agro</w:t>
      </w:r>
      <w:r w:rsidR="00C30CC1">
        <w:rPr>
          <w:rFonts w:ascii="Arial" w:hAnsi="Arial" w:cs="Arial"/>
          <w:b/>
          <w:sz w:val="20"/>
          <w:szCs w:val="20"/>
          <w:lang w:val="en-GB"/>
        </w:rPr>
        <w:t>-</w:t>
      </w:r>
      <w:r w:rsidRPr="00EC38E3">
        <w:rPr>
          <w:rFonts w:ascii="Arial" w:hAnsi="Arial" w:cs="Arial"/>
          <w:b/>
          <w:sz w:val="20"/>
          <w:szCs w:val="20"/>
          <w:lang w:val="en-GB"/>
        </w:rPr>
        <w:t xml:space="preserve">food sector: </w:t>
      </w:r>
      <w:r>
        <w:rPr>
          <w:rFonts w:ascii="Arial" w:hAnsi="Arial" w:cs="Arial"/>
          <w:b/>
          <w:sz w:val="20"/>
          <w:szCs w:val="20"/>
          <w:lang w:val="en-GB"/>
        </w:rPr>
        <w:t>h</w:t>
      </w:r>
      <w:r w:rsidRPr="00EC38E3">
        <w:rPr>
          <w:rFonts w:ascii="Arial" w:hAnsi="Arial" w:cs="Arial"/>
          <w:b/>
          <w:sz w:val="20"/>
          <w:szCs w:val="20"/>
          <w:lang w:val="en-GB"/>
        </w:rPr>
        <w:t>eavy dependence on imports</w:t>
      </w:r>
    </w:p>
    <w:p w:rsidR="00EC38E3" w:rsidRPr="00EC38E3" w:rsidRDefault="00EC38E3" w:rsidP="00EC38E3">
      <w:pPr>
        <w:suppressAutoHyphens/>
        <w:spacing w:line="270" w:lineRule="exact"/>
        <w:jc w:val="both"/>
        <w:rPr>
          <w:rFonts w:ascii="Arial" w:hAnsi="Arial" w:cs="Arial"/>
          <w:sz w:val="20"/>
          <w:szCs w:val="20"/>
          <w:lang w:val="en-GB"/>
        </w:rPr>
      </w:pPr>
    </w:p>
    <w:p w:rsidR="00EC38E3" w:rsidRPr="00EC38E3" w:rsidRDefault="00EC38E3" w:rsidP="00EC38E3">
      <w:pPr>
        <w:suppressAutoHyphens/>
        <w:spacing w:line="270" w:lineRule="exact"/>
        <w:jc w:val="both"/>
        <w:rPr>
          <w:rFonts w:ascii="Arial" w:hAnsi="Arial" w:cs="Arial"/>
          <w:sz w:val="20"/>
          <w:szCs w:val="20"/>
          <w:lang w:val="en-GB"/>
        </w:rPr>
      </w:pPr>
      <w:r w:rsidRPr="00EC38E3">
        <w:rPr>
          <w:rFonts w:ascii="Arial" w:hAnsi="Arial" w:cs="Arial"/>
          <w:sz w:val="20"/>
          <w:szCs w:val="20"/>
          <w:lang w:val="en-GB"/>
        </w:rPr>
        <w:t>The agro</w:t>
      </w:r>
      <w:r w:rsidR="00C30CC1">
        <w:rPr>
          <w:rFonts w:ascii="Arial" w:hAnsi="Arial" w:cs="Arial"/>
          <w:sz w:val="20"/>
          <w:szCs w:val="20"/>
          <w:lang w:val="en-GB"/>
        </w:rPr>
        <w:t>-</w:t>
      </w:r>
      <w:r w:rsidRPr="00EC38E3">
        <w:rPr>
          <w:rFonts w:ascii="Arial" w:hAnsi="Arial" w:cs="Arial"/>
          <w:sz w:val="20"/>
          <w:szCs w:val="20"/>
          <w:lang w:val="en-GB"/>
        </w:rPr>
        <w:t>food sector is becoming increasingly important in the UAE, in line with the growing population and per capita income. The country accounts for 20</w:t>
      </w:r>
      <w:r w:rsidR="00C30CC1">
        <w:rPr>
          <w:rFonts w:ascii="Arial" w:hAnsi="Arial" w:cs="Arial"/>
          <w:sz w:val="20"/>
          <w:szCs w:val="20"/>
          <w:lang w:val="en-GB"/>
        </w:rPr>
        <w:t>%</w:t>
      </w:r>
      <w:r w:rsidR="00C30CC1" w:rsidRPr="00EC38E3">
        <w:rPr>
          <w:rFonts w:ascii="Arial" w:hAnsi="Arial" w:cs="Arial"/>
          <w:sz w:val="20"/>
          <w:szCs w:val="20"/>
          <w:lang w:val="en-GB"/>
        </w:rPr>
        <w:t xml:space="preserve"> </w:t>
      </w:r>
      <w:r w:rsidRPr="00EC38E3">
        <w:rPr>
          <w:rFonts w:ascii="Arial" w:hAnsi="Arial" w:cs="Arial"/>
          <w:sz w:val="20"/>
          <w:szCs w:val="20"/>
          <w:lang w:val="en-GB"/>
        </w:rPr>
        <w:t xml:space="preserve">of the total food consumption of the Gulf Cooperation Council (GCC) countries, where it is the second largest consumer after Saudi Arabia. The country is also the second largest food producer in the GCC. However, </w:t>
      </w:r>
      <w:r w:rsidR="00C30CC1">
        <w:rPr>
          <w:rFonts w:ascii="Arial" w:hAnsi="Arial" w:cs="Arial"/>
          <w:sz w:val="20"/>
          <w:szCs w:val="20"/>
          <w:lang w:val="en-GB"/>
        </w:rPr>
        <w:t>there is limited</w:t>
      </w:r>
      <w:r w:rsidR="00C30CC1" w:rsidRPr="00EC38E3">
        <w:rPr>
          <w:rFonts w:ascii="Arial" w:hAnsi="Arial" w:cs="Arial"/>
          <w:sz w:val="20"/>
          <w:szCs w:val="20"/>
          <w:lang w:val="en-GB"/>
        </w:rPr>
        <w:t xml:space="preserve"> </w:t>
      </w:r>
      <w:r w:rsidRPr="00EC38E3">
        <w:rPr>
          <w:rFonts w:ascii="Arial" w:hAnsi="Arial" w:cs="Arial"/>
          <w:sz w:val="20"/>
          <w:szCs w:val="20"/>
          <w:lang w:val="en-GB"/>
        </w:rPr>
        <w:t>arable land and the climate is not very favo</w:t>
      </w:r>
      <w:r w:rsidR="00C30CC1">
        <w:rPr>
          <w:rFonts w:ascii="Arial" w:hAnsi="Arial" w:cs="Arial"/>
          <w:sz w:val="20"/>
          <w:szCs w:val="20"/>
          <w:lang w:val="en-GB"/>
        </w:rPr>
        <w:t>u</w:t>
      </w:r>
      <w:r w:rsidRPr="00EC38E3">
        <w:rPr>
          <w:rFonts w:ascii="Arial" w:hAnsi="Arial" w:cs="Arial"/>
          <w:sz w:val="20"/>
          <w:szCs w:val="20"/>
          <w:lang w:val="en-GB"/>
        </w:rPr>
        <w:t xml:space="preserve">rable </w:t>
      </w:r>
      <w:r w:rsidR="00C30CC1">
        <w:rPr>
          <w:rFonts w:ascii="Arial" w:hAnsi="Arial" w:cs="Arial"/>
          <w:sz w:val="20"/>
          <w:szCs w:val="20"/>
          <w:lang w:val="en-GB"/>
        </w:rPr>
        <w:t>to agriculture</w:t>
      </w:r>
      <w:r w:rsidRPr="00EC38E3">
        <w:rPr>
          <w:rFonts w:ascii="Arial" w:hAnsi="Arial" w:cs="Arial"/>
          <w:sz w:val="20"/>
          <w:szCs w:val="20"/>
          <w:lang w:val="en-GB"/>
        </w:rPr>
        <w:t>. The government supports the agricultural sector and food processing industry. Heavy dependence on food imports creates a risk for the country if there is a shortage in food supply. The government’s control over food prices may also weigh negatively on corporate profit margins.</w:t>
      </w:r>
    </w:p>
    <w:p w:rsidR="00EC38E3" w:rsidRPr="00EC38E3" w:rsidRDefault="00EC38E3" w:rsidP="00EC38E3">
      <w:pPr>
        <w:suppressAutoHyphens/>
        <w:spacing w:line="270" w:lineRule="exact"/>
        <w:jc w:val="both"/>
        <w:rPr>
          <w:rFonts w:ascii="Arial" w:hAnsi="Arial" w:cs="Arial"/>
          <w:sz w:val="20"/>
          <w:szCs w:val="20"/>
          <w:lang w:val="en-GB"/>
        </w:rPr>
      </w:pPr>
    </w:p>
    <w:p w:rsidR="00EC38E3" w:rsidRPr="00EC38E3" w:rsidRDefault="00EC38E3" w:rsidP="00EC38E3">
      <w:pPr>
        <w:suppressAutoHyphens/>
        <w:spacing w:line="270" w:lineRule="exact"/>
        <w:jc w:val="both"/>
        <w:rPr>
          <w:rFonts w:ascii="Arial" w:hAnsi="Arial" w:cs="Arial"/>
          <w:b/>
          <w:sz w:val="20"/>
          <w:szCs w:val="20"/>
          <w:lang w:val="en-GB"/>
        </w:rPr>
      </w:pPr>
      <w:r w:rsidRPr="00EC38E3">
        <w:rPr>
          <w:rFonts w:ascii="Arial" w:hAnsi="Arial" w:cs="Arial"/>
          <w:b/>
          <w:sz w:val="20"/>
          <w:szCs w:val="20"/>
          <w:lang w:val="en-GB"/>
        </w:rPr>
        <w:t xml:space="preserve">Retail sector: </w:t>
      </w:r>
      <w:r>
        <w:rPr>
          <w:rFonts w:ascii="Arial" w:hAnsi="Arial" w:cs="Arial"/>
          <w:b/>
          <w:sz w:val="20"/>
          <w:szCs w:val="20"/>
          <w:lang w:val="en-GB"/>
        </w:rPr>
        <w:t>f</w:t>
      </w:r>
      <w:r w:rsidRPr="00EC38E3">
        <w:rPr>
          <w:rFonts w:ascii="Arial" w:hAnsi="Arial" w:cs="Arial"/>
          <w:b/>
          <w:sz w:val="20"/>
          <w:szCs w:val="20"/>
          <w:lang w:val="en-GB"/>
        </w:rPr>
        <w:t xml:space="preserve">avourable environment for expansion, with </w:t>
      </w:r>
      <w:r w:rsidR="00FE7344">
        <w:rPr>
          <w:rFonts w:ascii="Arial" w:hAnsi="Arial" w:cs="Arial"/>
          <w:b/>
          <w:sz w:val="20"/>
          <w:szCs w:val="20"/>
          <w:lang w:val="en-GB"/>
        </w:rPr>
        <w:t>limited</w:t>
      </w:r>
      <w:r w:rsidR="00FE7344" w:rsidRPr="00EC38E3">
        <w:rPr>
          <w:rFonts w:ascii="Arial" w:hAnsi="Arial" w:cs="Arial"/>
          <w:b/>
          <w:sz w:val="20"/>
          <w:szCs w:val="20"/>
          <w:lang w:val="en-GB"/>
        </w:rPr>
        <w:t xml:space="preserve"> </w:t>
      </w:r>
      <w:r w:rsidRPr="00EC38E3">
        <w:rPr>
          <w:rFonts w:ascii="Arial" w:hAnsi="Arial" w:cs="Arial"/>
          <w:b/>
          <w:sz w:val="20"/>
          <w:szCs w:val="20"/>
          <w:lang w:val="en-GB"/>
        </w:rPr>
        <w:t>risks</w:t>
      </w:r>
    </w:p>
    <w:p w:rsidR="00EC38E3" w:rsidRPr="00EC38E3" w:rsidRDefault="00EC38E3" w:rsidP="00EC38E3">
      <w:pPr>
        <w:suppressAutoHyphens/>
        <w:spacing w:line="270" w:lineRule="exact"/>
        <w:jc w:val="both"/>
        <w:rPr>
          <w:rFonts w:ascii="Arial" w:hAnsi="Arial" w:cs="Arial"/>
          <w:sz w:val="20"/>
          <w:szCs w:val="20"/>
          <w:lang w:val="en-GB"/>
        </w:rPr>
      </w:pPr>
    </w:p>
    <w:p w:rsidR="00EC38E3" w:rsidRPr="00EC38E3" w:rsidRDefault="0064205E" w:rsidP="00EC38E3">
      <w:pPr>
        <w:suppressAutoHyphens/>
        <w:spacing w:line="270" w:lineRule="exact"/>
        <w:jc w:val="both"/>
        <w:rPr>
          <w:rFonts w:ascii="Arial" w:hAnsi="Arial" w:cs="Arial"/>
          <w:sz w:val="20"/>
          <w:szCs w:val="20"/>
          <w:lang w:val="en-GB"/>
        </w:rPr>
      </w:pPr>
      <w:r>
        <w:rPr>
          <w:rFonts w:ascii="Arial" w:hAnsi="Arial" w:cs="Arial"/>
          <w:sz w:val="20"/>
          <w:szCs w:val="20"/>
          <w:lang w:val="en-GB"/>
        </w:rPr>
        <w:t>Retail</w:t>
      </w:r>
      <w:r w:rsidR="00EC38E3" w:rsidRPr="00EC38E3">
        <w:rPr>
          <w:rFonts w:ascii="Arial" w:hAnsi="Arial" w:cs="Arial"/>
          <w:sz w:val="20"/>
          <w:szCs w:val="20"/>
          <w:lang w:val="en-GB"/>
        </w:rPr>
        <w:t xml:space="preserve"> is one of the fastest</w:t>
      </w:r>
      <w:r>
        <w:rPr>
          <w:rFonts w:ascii="Arial" w:hAnsi="Arial" w:cs="Arial"/>
          <w:sz w:val="20"/>
          <w:szCs w:val="20"/>
          <w:lang w:val="en-GB"/>
        </w:rPr>
        <w:t>-</w:t>
      </w:r>
      <w:r w:rsidR="00EC38E3" w:rsidRPr="00EC38E3">
        <w:rPr>
          <w:rFonts w:ascii="Arial" w:hAnsi="Arial" w:cs="Arial"/>
          <w:sz w:val="20"/>
          <w:szCs w:val="20"/>
          <w:lang w:val="en-GB"/>
        </w:rPr>
        <w:t xml:space="preserve">growing </w:t>
      </w:r>
      <w:r>
        <w:rPr>
          <w:rFonts w:ascii="Arial" w:hAnsi="Arial" w:cs="Arial"/>
          <w:sz w:val="20"/>
          <w:szCs w:val="20"/>
          <w:lang w:val="en-GB"/>
        </w:rPr>
        <w:t>sectors</w:t>
      </w:r>
      <w:r w:rsidRPr="00EC38E3">
        <w:rPr>
          <w:rFonts w:ascii="Arial" w:hAnsi="Arial" w:cs="Arial"/>
          <w:sz w:val="20"/>
          <w:szCs w:val="20"/>
          <w:lang w:val="en-GB"/>
        </w:rPr>
        <w:t xml:space="preserve"> </w:t>
      </w:r>
      <w:r w:rsidR="00EC38E3" w:rsidRPr="00EC38E3">
        <w:rPr>
          <w:rFonts w:ascii="Arial" w:hAnsi="Arial" w:cs="Arial"/>
          <w:sz w:val="20"/>
          <w:szCs w:val="20"/>
          <w:lang w:val="en-GB"/>
        </w:rPr>
        <w:t xml:space="preserve">in the UAE, supported by increasing wealth, economic sustainability and strong domestic consumption. The fact that the UAE was not affected by the political turmoil in the Arab World made the country a more popular tourism destination, which in turn also contributed to the expansion of the retail sector. Intense competition and price increases in accommodation, food, transport, education and rent can be considered as major risks weighing on retail activity - but these risks remain </w:t>
      </w:r>
      <w:r w:rsidR="00FE7344">
        <w:rPr>
          <w:rFonts w:ascii="Arial" w:hAnsi="Arial" w:cs="Arial"/>
          <w:sz w:val="20"/>
          <w:szCs w:val="20"/>
          <w:lang w:val="en-GB"/>
        </w:rPr>
        <w:t>limited</w:t>
      </w:r>
      <w:r w:rsidR="00EC38E3" w:rsidRPr="00EC38E3">
        <w:rPr>
          <w:rFonts w:ascii="Arial" w:hAnsi="Arial" w:cs="Arial"/>
          <w:sz w:val="20"/>
          <w:szCs w:val="20"/>
          <w:lang w:val="en-GB"/>
        </w:rPr>
        <w:t xml:space="preserve">. </w:t>
      </w:r>
    </w:p>
    <w:p w:rsidR="00EC38E3" w:rsidRPr="00EC38E3" w:rsidRDefault="00EC38E3" w:rsidP="00EC38E3">
      <w:pPr>
        <w:suppressAutoHyphens/>
        <w:spacing w:line="270" w:lineRule="exact"/>
        <w:jc w:val="both"/>
        <w:rPr>
          <w:rFonts w:ascii="Arial" w:hAnsi="Arial" w:cs="Arial"/>
          <w:sz w:val="20"/>
          <w:szCs w:val="20"/>
          <w:lang w:val="en-GB"/>
        </w:rPr>
      </w:pPr>
    </w:p>
    <w:p w:rsidR="00DC0666" w:rsidRPr="00EC38E3" w:rsidRDefault="00EC38E3" w:rsidP="00EC38E3">
      <w:pPr>
        <w:suppressAutoHyphens/>
        <w:spacing w:line="270" w:lineRule="exact"/>
        <w:jc w:val="both"/>
        <w:rPr>
          <w:rFonts w:ascii="Arial" w:hAnsi="Arial" w:cs="Arial"/>
          <w:sz w:val="20"/>
          <w:szCs w:val="20"/>
          <w:lang w:val="en-US" w:eastAsia="zh-TW"/>
        </w:rPr>
      </w:pPr>
      <w:r w:rsidRPr="00EC38E3">
        <w:rPr>
          <w:rFonts w:ascii="Arial" w:hAnsi="Arial" w:cs="Arial"/>
          <w:i/>
          <w:sz w:val="20"/>
          <w:szCs w:val="20"/>
          <w:lang w:val="en-GB"/>
        </w:rPr>
        <w:t>“</w:t>
      </w:r>
      <w:r w:rsidR="0064205E">
        <w:rPr>
          <w:rFonts w:ascii="Arial" w:hAnsi="Arial" w:cs="Arial"/>
          <w:i/>
          <w:sz w:val="20"/>
          <w:szCs w:val="20"/>
          <w:lang w:val="en-GB"/>
        </w:rPr>
        <w:t>Our</w:t>
      </w:r>
      <w:r w:rsidR="0064205E" w:rsidRPr="00EC38E3">
        <w:rPr>
          <w:rFonts w:ascii="Arial" w:hAnsi="Arial" w:cs="Arial"/>
          <w:i/>
          <w:sz w:val="20"/>
          <w:szCs w:val="20"/>
          <w:lang w:val="en-GB"/>
        </w:rPr>
        <w:t xml:space="preserve"> </w:t>
      </w:r>
      <w:r w:rsidRPr="00EC38E3">
        <w:rPr>
          <w:rFonts w:ascii="Arial" w:hAnsi="Arial" w:cs="Arial"/>
          <w:i/>
          <w:sz w:val="20"/>
          <w:szCs w:val="20"/>
          <w:lang w:val="en-GB"/>
        </w:rPr>
        <w:t xml:space="preserve">report confirms that the region’s economy has developed </w:t>
      </w:r>
      <w:r w:rsidR="0064205E" w:rsidRPr="00EC38E3">
        <w:rPr>
          <w:rFonts w:ascii="Arial" w:hAnsi="Arial" w:cs="Arial"/>
          <w:i/>
          <w:sz w:val="20"/>
          <w:szCs w:val="20"/>
          <w:lang w:val="en-GB"/>
        </w:rPr>
        <w:t xml:space="preserve">significantly </w:t>
      </w:r>
      <w:r w:rsidRPr="00EC38E3">
        <w:rPr>
          <w:rFonts w:ascii="Arial" w:hAnsi="Arial" w:cs="Arial"/>
          <w:i/>
          <w:sz w:val="20"/>
          <w:szCs w:val="20"/>
          <w:lang w:val="en-GB"/>
        </w:rPr>
        <w:t>over the past three years, establishing it as a leading global trading</w:t>
      </w:r>
      <w:r w:rsidR="00BE0ED0">
        <w:rPr>
          <w:rFonts w:ascii="Arial" w:hAnsi="Arial" w:cs="Arial"/>
          <w:i/>
          <w:sz w:val="20"/>
          <w:szCs w:val="20"/>
          <w:lang w:val="en-GB"/>
        </w:rPr>
        <w:t xml:space="preserve"> economy. Non-oil trade reached</w:t>
      </w:r>
      <w:r w:rsidRPr="00EC38E3">
        <w:rPr>
          <w:rFonts w:ascii="Arial" w:hAnsi="Arial" w:cs="Arial"/>
          <w:i/>
          <w:sz w:val="20"/>
          <w:szCs w:val="20"/>
          <w:lang w:val="en-GB"/>
        </w:rPr>
        <w:t xml:space="preserve"> 256 billion </w:t>
      </w:r>
      <w:r w:rsidRPr="00EC38E3">
        <w:rPr>
          <w:rFonts w:ascii="Arial" w:hAnsi="Arial" w:cs="Arial"/>
          <w:i/>
          <w:sz w:val="20"/>
          <w:szCs w:val="20"/>
          <w:lang w:val="en-GB"/>
        </w:rPr>
        <w:lastRenderedPageBreak/>
        <w:t xml:space="preserve">AED during the </w:t>
      </w:r>
      <w:r w:rsidR="00BE0ED0">
        <w:rPr>
          <w:rFonts w:ascii="Arial" w:hAnsi="Arial" w:cs="Arial"/>
          <w:i/>
          <w:sz w:val="20"/>
          <w:szCs w:val="20"/>
          <w:lang w:val="en-GB"/>
        </w:rPr>
        <w:t>first</w:t>
      </w:r>
      <w:r w:rsidRPr="00EC38E3">
        <w:rPr>
          <w:rFonts w:ascii="Arial" w:hAnsi="Arial" w:cs="Arial"/>
          <w:i/>
          <w:sz w:val="20"/>
          <w:szCs w:val="20"/>
          <w:lang w:val="en-GB"/>
        </w:rPr>
        <w:t xml:space="preserve"> quarter of 2014, showing continued momentum driven by the country’s non-oil foreign trade in all economic sectors - as reported by UAE Federal Customs Authority. The UAE represents an ideal business location and a safe haven in the Middle East Region”</w:t>
      </w:r>
      <w:r>
        <w:rPr>
          <w:rFonts w:ascii="Arial" w:hAnsi="Arial" w:cs="Arial"/>
          <w:i/>
          <w:sz w:val="20"/>
          <w:szCs w:val="20"/>
          <w:lang w:val="en-GB"/>
        </w:rPr>
        <w:t>,</w:t>
      </w:r>
      <w:r w:rsidRPr="00EC38E3">
        <w:rPr>
          <w:rFonts w:ascii="Arial" w:hAnsi="Arial" w:cs="Arial"/>
          <w:sz w:val="20"/>
          <w:szCs w:val="20"/>
          <w:lang w:val="en-GB"/>
        </w:rPr>
        <w:t xml:space="preserve"> said Massimo </w:t>
      </w:r>
      <w:proofErr w:type="spellStart"/>
      <w:r w:rsidRPr="00EC38E3">
        <w:rPr>
          <w:rFonts w:ascii="Arial" w:hAnsi="Arial" w:cs="Arial"/>
          <w:sz w:val="20"/>
          <w:szCs w:val="20"/>
          <w:lang w:val="en-GB"/>
        </w:rPr>
        <w:t>Falcioni</w:t>
      </w:r>
      <w:proofErr w:type="spellEnd"/>
      <w:r w:rsidRPr="00EC38E3">
        <w:rPr>
          <w:rFonts w:ascii="Arial" w:hAnsi="Arial" w:cs="Arial"/>
          <w:sz w:val="20"/>
          <w:szCs w:val="20"/>
          <w:lang w:val="en-GB"/>
        </w:rPr>
        <w:t xml:space="preserve">, Head of </w:t>
      </w:r>
      <w:r w:rsidR="0064205E">
        <w:rPr>
          <w:rFonts w:ascii="Arial" w:hAnsi="Arial" w:cs="Arial"/>
          <w:sz w:val="20"/>
          <w:szCs w:val="20"/>
          <w:lang w:val="en-GB"/>
        </w:rPr>
        <w:t xml:space="preserve">the </w:t>
      </w:r>
      <w:r w:rsidRPr="00EC38E3">
        <w:rPr>
          <w:rFonts w:ascii="Arial" w:hAnsi="Arial" w:cs="Arial"/>
          <w:sz w:val="20"/>
          <w:szCs w:val="20"/>
          <w:lang w:val="en-GB"/>
        </w:rPr>
        <w:t>Middle East</w:t>
      </w:r>
      <w:r w:rsidR="0064205E">
        <w:rPr>
          <w:rFonts w:ascii="Arial" w:hAnsi="Arial" w:cs="Arial"/>
          <w:sz w:val="20"/>
          <w:szCs w:val="20"/>
          <w:lang w:val="en-GB"/>
        </w:rPr>
        <w:t xml:space="preserve"> region within,</w:t>
      </w:r>
      <w:r w:rsidRPr="00EC38E3">
        <w:rPr>
          <w:rFonts w:ascii="Arial" w:hAnsi="Arial" w:cs="Arial"/>
          <w:sz w:val="20"/>
          <w:szCs w:val="20"/>
          <w:lang w:val="en-GB"/>
        </w:rPr>
        <w:t xml:space="preserve"> </w:t>
      </w:r>
      <w:proofErr w:type="spellStart"/>
      <w:r w:rsidRPr="00EC38E3">
        <w:rPr>
          <w:rFonts w:ascii="Arial" w:hAnsi="Arial" w:cs="Arial"/>
          <w:sz w:val="20"/>
          <w:szCs w:val="20"/>
          <w:lang w:val="en-GB"/>
        </w:rPr>
        <w:t>Coface</w:t>
      </w:r>
      <w:proofErr w:type="spellEnd"/>
      <w:r w:rsidRPr="00EC38E3">
        <w:rPr>
          <w:rFonts w:ascii="Arial" w:hAnsi="Arial" w:cs="Arial"/>
          <w:sz w:val="20"/>
          <w:szCs w:val="20"/>
          <w:lang w:val="en-GB"/>
        </w:rPr>
        <w:t>.</w:t>
      </w:r>
    </w:p>
    <w:p w:rsidR="00DC0666" w:rsidRDefault="00DC0666" w:rsidP="00DC0666">
      <w:pPr>
        <w:tabs>
          <w:tab w:val="center" w:pos="4536"/>
          <w:tab w:val="right" w:pos="9072"/>
        </w:tabs>
        <w:rPr>
          <w:rFonts w:ascii="Arial" w:hAnsi="Arial" w:cs="Arial"/>
          <w:b/>
          <w:sz w:val="20"/>
          <w:szCs w:val="20"/>
          <w:lang w:val="en-GB"/>
        </w:rPr>
      </w:pPr>
    </w:p>
    <w:p w:rsidR="00243384" w:rsidRDefault="00243384" w:rsidP="00DC0666">
      <w:pPr>
        <w:tabs>
          <w:tab w:val="center" w:pos="4536"/>
          <w:tab w:val="right" w:pos="9072"/>
        </w:tabs>
        <w:rPr>
          <w:rFonts w:ascii="Arial" w:hAnsi="Arial" w:cs="Arial"/>
          <w:b/>
          <w:sz w:val="20"/>
          <w:szCs w:val="20"/>
          <w:lang w:val="en-GB"/>
        </w:rPr>
      </w:pPr>
    </w:p>
    <w:p w:rsidR="00243384" w:rsidRDefault="00243384" w:rsidP="00243384">
      <w:pPr>
        <w:tabs>
          <w:tab w:val="center" w:pos="4536"/>
          <w:tab w:val="right" w:pos="9072"/>
        </w:tabs>
        <w:spacing w:line="270" w:lineRule="exact"/>
        <w:jc w:val="center"/>
        <w:outlineLvl w:val="0"/>
        <w:rPr>
          <w:rFonts w:ascii="Arial" w:eastAsia="Arial Unicode MS" w:hAnsi="Arial" w:cs="Arial"/>
          <w:b/>
          <w:color w:val="000000"/>
          <w:sz w:val="18"/>
          <w:u w:color="000000"/>
          <w:lang w:val="en-US"/>
        </w:rPr>
      </w:pPr>
      <w:r>
        <w:rPr>
          <w:rFonts w:ascii="Arial" w:eastAsia="Arial Unicode MS" w:hAnsi="Arial" w:cs="Arial"/>
          <w:b/>
          <w:color w:val="000000"/>
          <w:sz w:val="18"/>
          <w:u w:color="000000"/>
          <w:lang w:val="en-US"/>
        </w:rPr>
        <w:t>ENDS</w:t>
      </w:r>
      <w:bookmarkStart w:id="0" w:name="_GoBack"/>
      <w:bookmarkEnd w:id="0"/>
    </w:p>
    <w:p w:rsidR="00243384" w:rsidRDefault="00243384" w:rsidP="00243384">
      <w:pPr>
        <w:tabs>
          <w:tab w:val="center" w:pos="4536"/>
          <w:tab w:val="right" w:pos="9072"/>
        </w:tabs>
        <w:spacing w:line="270" w:lineRule="exact"/>
        <w:outlineLvl w:val="0"/>
        <w:rPr>
          <w:rFonts w:ascii="Arial" w:eastAsia="Arial Unicode MS" w:hAnsi="Arial" w:cs="Arial"/>
          <w:b/>
          <w:color w:val="000000"/>
          <w:sz w:val="18"/>
          <w:u w:color="000000"/>
          <w:lang w:val="en-US"/>
        </w:rPr>
      </w:pPr>
    </w:p>
    <w:p w:rsidR="00243384" w:rsidRPr="00843697" w:rsidRDefault="00243384" w:rsidP="00243384">
      <w:pPr>
        <w:tabs>
          <w:tab w:val="center" w:pos="4536"/>
          <w:tab w:val="right" w:pos="9072"/>
        </w:tabs>
        <w:spacing w:line="270" w:lineRule="exact"/>
        <w:outlineLvl w:val="0"/>
        <w:rPr>
          <w:rFonts w:ascii="Arial" w:eastAsia="Arial Unicode MS" w:hAnsi="Arial" w:cs="Arial"/>
          <w:color w:val="000000"/>
          <w:sz w:val="18"/>
          <w:u w:color="000000"/>
          <w:lang w:val="en-US"/>
        </w:rPr>
      </w:pPr>
      <w:r w:rsidRPr="00843697">
        <w:rPr>
          <w:rFonts w:ascii="Arial" w:eastAsia="Arial Unicode MS" w:hAnsi="Arial" w:cs="Arial"/>
          <w:b/>
          <w:color w:val="000000"/>
          <w:sz w:val="18"/>
          <w:u w:color="000000"/>
          <w:lang w:val="en-US"/>
        </w:rPr>
        <w:t>MEDIA CONTACT</w:t>
      </w:r>
      <w:r w:rsidRPr="00843697">
        <w:rPr>
          <w:rFonts w:ascii="Arial" w:eastAsia="Arial Unicode MS" w:hAnsi="Arial" w:cs="Arial"/>
          <w:color w:val="000000"/>
          <w:sz w:val="18"/>
          <w:u w:color="000000"/>
          <w:lang w:val="en-US"/>
        </w:rPr>
        <w:t xml:space="preserve">: </w:t>
      </w:r>
    </w:p>
    <w:p w:rsidR="00243384" w:rsidRPr="00326D78" w:rsidRDefault="00243384" w:rsidP="00243384">
      <w:pPr>
        <w:autoSpaceDE w:val="0"/>
        <w:autoSpaceDN w:val="0"/>
        <w:adjustRightInd w:val="0"/>
        <w:rPr>
          <w:rFonts w:ascii="Arial" w:hAnsi="Arial" w:cs="Arial"/>
          <w:color w:val="000000"/>
          <w:sz w:val="18"/>
          <w:szCs w:val="18"/>
          <w:lang w:val="en-GB"/>
        </w:rPr>
      </w:pPr>
      <w:r w:rsidRPr="00326D78">
        <w:rPr>
          <w:rFonts w:ascii="Arial" w:hAnsi="Arial" w:cs="Arial"/>
          <w:color w:val="000000"/>
          <w:sz w:val="18"/>
          <w:szCs w:val="18"/>
          <w:lang w:val="en-GB"/>
        </w:rPr>
        <w:t>Trevor Byrne</w:t>
      </w:r>
    </w:p>
    <w:p w:rsidR="00243384" w:rsidRPr="00326D78" w:rsidRDefault="00243384" w:rsidP="00243384">
      <w:pPr>
        <w:autoSpaceDE w:val="0"/>
        <w:autoSpaceDN w:val="0"/>
        <w:adjustRightInd w:val="0"/>
        <w:rPr>
          <w:rFonts w:ascii="Arial" w:hAnsi="Arial" w:cs="Arial"/>
          <w:color w:val="000000"/>
          <w:sz w:val="18"/>
          <w:szCs w:val="18"/>
          <w:lang w:val="en-GB"/>
        </w:rPr>
      </w:pPr>
      <w:r w:rsidRPr="00326D78">
        <w:rPr>
          <w:rFonts w:ascii="Arial" w:hAnsi="Arial" w:cs="Arial"/>
          <w:color w:val="000000"/>
          <w:sz w:val="18"/>
          <w:szCs w:val="18"/>
          <w:lang w:val="en-GB"/>
        </w:rPr>
        <w:t>Tel: +44 (0)1923 478393</w:t>
      </w:r>
    </w:p>
    <w:p w:rsidR="00243384" w:rsidRPr="00326D78" w:rsidRDefault="00243384" w:rsidP="00243384">
      <w:pPr>
        <w:autoSpaceDE w:val="0"/>
        <w:autoSpaceDN w:val="0"/>
        <w:adjustRightInd w:val="0"/>
        <w:rPr>
          <w:rFonts w:ascii="Arial" w:hAnsi="Arial" w:cs="Arial"/>
          <w:color w:val="0000FF"/>
          <w:sz w:val="18"/>
          <w:szCs w:val="18"/>
          <w:lang w:val="en-GB"/>
        </w:rPr>
      </w:pPr>
      <w:r w:rsidRPr="00326D78">
        <w:rPr>
          <w:rFonts w:ascii="Arial" w:hAnsi="Arial" w:cs="Arial"/>
          <w:color w:val="000000"/>
          <w:sz w:val="18"/>
          <w:szCs w:val="18"/>
          <w:lang w:val="en-GB"/>
        </w:rPr>
        <w:t xml:space="preserve">Email: </w:t>
      </w:r>
      <w:r w:rsidRPr="00326D78">
        <w:rPr>
          <w:rFonts w:ascii="Arial" w:hAnsi="Arial" w:cs="Arial"/>
          <w:color w:val="0000FF"/>
          <w:sz w:val="18"/>
          <w:szCs w:val="18"/>
          <w:lang w:val="en-GB"/>
        </w:rPr>
        <w:t>trevor.byrne@coface.com</w:t>
      </w:r>
    </w:p>
    <w:p w:rsidR="00243384" w:rsidRDefault="00243384" w:rsidP="00243384">
      <w:pPr>
        <w:suppressAutoHyphens/>
        <w:spacing w:line="270" w:lineRule="exact"/>
        <w:jc w:val="both"/>
        <w:rPr>
          <w:rStyle w:val="Hyperlink"/>
          <w:rFonts w:ascii="Arial" w:hAnsi="Arial" w:cs="Arial"/>
          <w:sz w:val="18"/>
          <w:szCs w:val="18"/>
          <w:lang w:val="en-GB"/>
        </w:rPr>
      </w:pPr>
      <w:r w:rsidRPr="00326D78">
        <w:rPr>
          <w:rFonts w:ascii="Arial" w:hAnsi="Arial" w:cs="Arial"/>
          <w:color w:val="000000"/>
          <w:sz w:val="18"/>
          <w:szCs w:val="18"/>
          <w:lang w:val="en-GB"/>
        </w:rPr>
        <w:t xml:space="preserve">Website: </w:t>
      </w:r>
      <w:hyperlink r:id="rId10" w:history="1">
        <w:r w:rsidRPr="00326D78">
          <w:rPr>
            <w:rStyle w:val="Hyperlink"/>
            <w:rFonts w:ascii="Arial" w:hAnsi="Arial" w:cs="Arial"/>
            <w:sz w:val="18"/>
            <w:szCs w:val="18"/>
            <w:lang w:val="en-GB"/>
          </w:rPr>
          <w:t>www.cofaceuk.com</w:t>
        </w:r>
      </w:hyperlink>
    </w:p>
    <w:p w:rsidR="00DC0666" w:rsidRPr="00DC0666" w:rsidRDefault="00DC0666" w:rsidP="00DC0666">
      <w:pPr>
        <w:tabs>
          <w:tab w:val="center" w:pos="4536"/>
          <w:tab w:val="right" w:pos="9072"/>
        </w:tabs>
        <w:rPr>
          <w:rFonts w:ascii="Arial" w:hAnsi="Arial" w:cs="Arial"/>
          <w:sz w:val="20"/>
          <w:szCs w:val="20"/>
        </w:rPr>
      </w:pPr>
    </w:p>
    <w:p w:rsidR="00DC0666" w:rsidRPr="00DC0666" w:rsidRDefault="00DC0666" w:rsidP="00DC0666">
      <w:pPr>
        <w:tabs>
          <w:tab w:val="center" w:pos="4536"/>
          <w:tab w:val="right" w:pos="9072"/>
        </w:tabs>
        <w:rPr>
          <w:rFonts w:ascii="Arial" w:hAnsi="Arial" w:cs="Arial"/>
          <w:sz w:val="20"/>
          <w:szCs w:val="20"/>
        </w:rPr>
      </w:pPr>
    </w:p>
    <w:tbl>
      <w:tblPr>
        <w:tblW w:w="8540" w:type="dxa"/>
        <w:jc w:val="center"/>
        <w:tblLayout w:type="fixed"/>
        <w:tblCellMar>
          <w:left w:w="0" w:type="dxa"/>
          <w:right w:w="0" w:type="dxa"/>
        </w:tblCellMar>
        <w:tblLook w:val="00A0" w:firstRow="1" w:lastRow="0" w:firstColumn="1" w:lastColumn="0" w:noHBand="0" w:noVBand="0"/>
      </w:tblPr>
      <w:tblGrid>
        <w:gridCol w:w="8540"/>
      </w:tblGrid>
      <w:tr w:rsidR="00DC0666" w:rsidRPr="00970D91" w:rsidTr="00CA05EE">
        <w:trPr>
          <w:trHeight w:val="220"/>
          <w:jc w:val="center"/>
        </w:trPr>
        <w:tc>
          <w:tcPr>
            <w:tcW w:w="8540" w:type="dxa"/>
            <w:shd w:val="clear" w:color="auto" w:fill="E9EDF4"/>
          </w:tcPr>
          <w:p w:rsidR="00DC0666" w:rsidRPr="00A24BBC" w:rsidRDefault="00DC0666" w:rsidP="00CA05EE">
            <w:pPr>
              <w:pStyle w:val="Footer"/>
              <w:spacing w:line="200" w:lineRule="exact"/>
              <w:ind w:left="101"/>
              <w:jc w:val="both"/>
              <w:rPr>
                <w:rFonts w:ascii="Arial" w:hAnsi="Arial" w:cs="Arial"/>
                <w:sz w:val="18"/>
                <w:szCs w:val="18"/>
                <w:lang w:val="en-US"/>
              </w:rPr>
            </w:pPr>
            <w:r w:rsidRPr="00A24BBC">
              <w:rPr>
                <w:rFonts w:ascii="Arial" w:hAnsi="Arial" w:cs="Arial"/>
                <w:b/>
                <w:sz w:val="18"/>
                <w:szCs w:val="18"/>
                <w:lang w:val="en-US"/>
              </w:rPr>
              <w:t xml:space="preserve">About </w:t>
            </w:r>
            <w:proofErr w:type="spellStart"/>
            <w:r w:rsidRPr="00A24BBC">
              <w:rPr>
                <w:rFonts w:ascii="Arial" w:hAnsi="Arial" w:cs="Arial"/>
                <w:b/>
                <w:sz w:val="18"/>
                <w:szCs w:val="18"/>
                <w:lang w:val="en-US"/>
              </w:rPr>
              <w:t>Coface</w:t>
            </w:r>
            <w:proofErr w:type="spellEnd"/>
          </w:p>
          <w:p w:rsidR="00DC0666" w:rsidRPr="00A24BBC" w:rsidRDefault="00DC0666" w:rsidP="00CA05EE">
            <w:pPr>
              <w:pStyle w:val="Footer"/>
              <w:spacing w:line="200" w:lineRule="exact"/>
              <w:ind w:left="101"/>
              <w:jc w:val="both"/>
              <w:rPr>
                <w:rFonts w:ascii="Arial" w:hAnsi="Arial" w:cs="Arial"/>
                <w:sz w:val="18"/>
                <w:szCs w:val="18"/>
                <w:lang w:val="en-US"/>
              </w:rPr>
            </w:pPr>
          </w:p>
          <w:p w:rsidR="00DC0666" w:rsidRPr="00962F8C" w:rsidRDefault="00DC0666" w:rsidP="00CA05EE">
            <w:pPr>
              <w:spacing w:line="240" w:lineRule="atLeast"/>
              <w:ind w:left="142" w:right="141"/>
              <w:jc w:val="both"/>
              <w:rPr>
                <w:rFonts w:ascii="Arial" w:hAnsi="Arial" w:cs="Arial"/>
                <w:sz w:val="18"/>
                <w:szCs w:val="18"/>
                <w:lang w:val="en-US"/>
              </w:rPr>
            </w:pPr>
            <w:r w:rsidRPr="00962F8C">
              <w:rPr>
                <w:rFonts w:ascii="Arial" w:hAnsi="Arial" w:cs="Arial"/>
                <w:sz w:val="18"/>
                <w:szCs w:val="18"/>
                <w:lang w:val="en-US"/>
              </w:rPr>
              <w:t xml:space="preserve">The </w:t>
            </w:r>
            <w:proofErr w:type="spellStart"/>
            <w:r w:rsidRPr="00962F8C">
              <w:rPr>
                <w:rFonts w:ascii="Arial" w:hAnsi="Arial" w:cs="Arial"/>
                <w:sz w:val="18"/>
                <w:szCs w:val="18"/>
                <w:lang w:val="en-US"/>
              </w:rPr>
              <w:t>Coface</w:t>
            </w:r>
            <w:proofErr w:type="spellEnd"/>
            <w:r w:rsidRPr="00962F8C">
              <w:rPr>
                <w:rFonts w:ascii="Arial" w:hAnsi="Arial" w:cs="Arial"/>
                <w:sz w:val="18"/>
                <w:szCs w:val="18"/>
                <w:lang w:val="en-US"/>
              </w:rPr>
              <w:t xml:space="preserve"> Group, a worldwide leader in credit insurance, offers companies around the globe solutions to protect them against the risk of financial default of their clients, both on the domestic market and for export. In 2013, the Group, supported by its 4,440 staff, posted a consolidated turnover of €1.440 billion. Present directly or indirectly in 98 countries, it secures transactions of over 37,000 companies in more than 200 countries. Each quarter, </w:t>
            </w:r>
            <w:proofErr w:type="spellStart"/>
            <w:r w:rsidRPr="00962F8C">
              <w:rPr>
                <w:rFonts w:ascii="Arial" w:hAnsi="Arial" w:cs="Arial"/>
                <w:sz w:val="18"/>
                <w:szCs w:val="18"/>
                <w:lang w:val="en-US"/>
              </w:rPr>
              <w:t>Coface</w:t>
            </w:r>
            <w:proofErr w:type="spellEnd"/>
            <w:r w:rsidRPr="00962F8C">
              <w:rPr>
                <w:rFonts w:ascii="Arial" w:hAnsi="Arial" w:cs="Arial"/>
                <w:sz w:val="18"/>
                <w:szCs w:val="18"/>
                <w:lang w:val="en-US"/>
              </w:rPr>
              <w:t xml:space="preserve"> publishes its assessments of country risk for 160 countries, based on its unique knowledge of companies’ payment </w:t>
            </w:r>
            <w:proofErr w:type="spellStart"/>
            <w:r w:rsidRPr="00962F8C">
              <w:rPr>
                <w:rFonts w:ascii="Arial" w:hAnsi="Arial" w:cs="Arial"/>
                <w:sz w:val="18"/>
                <w:szCs w:val="18"/>
                <w:lang w:val="en-US"/>
              </w:rPr>
              <w:t>behaviour</w:t>
            </w:r>
            <w:proofErr w:type="spellEnd"/>
            <w:r w:rsidRPr="00962F8C">
              <w:rPr>
                <w:rFonts w:ascii="Arial" w:hAnsi="Arial" w:cs="Arial"/>
                <w:sz w:val="18"/>
                <w:szCs w:val="18"/>
                <w:lang w:val="en-US"/>
              </w:rPr>
              <w:t xml:space="preserve"> and on the expertise of its 350 underwriters located close to clients and their debtors.</w:t>
            </w:r>
          </w:p>
          <w:p w:rsidR="00DC0666" w:rsidRPr="00962F8C" w:rsidRDefault="00DC0666" w:rsidP="00CA05EE">
            <w:pPr>
              <w:spacing w:line="240" w:lineRule="atLeast"/>
              <w:ind w:left="142" w:right="141"/>
              <w:jc w:val="both"/>
              <w:rPr>
                <w:rFonts w:ascii="Arial" w:hAnsi="Arial" w:cs="Arial"/>
                <w:sz w:val="18"/>
                <w:szCs w:val="21"/>
                <w:lang w:val="en-US"/>
              </w:rPr>
            </w:pPr>
            <w:r w:rsidRPr="00962F8C">
              <w:rPr>
                <w:rFonts w:ascii="Arial" w:hAnsi="Arial" w:cs="Arial"/>
                <w:sz w:val="18"/>
                <w:szCs w:val="21"/>
                <w:lang w:val="en-US"/>
              </w:rPr>
              <w:t xml:space="preserve">In </w:t>
            </w:r>
            <w:smartTag w:uri="urn:schemas-microsoft-com:office:smarttags" w:element="country-region">
              <w:smartTag w:uri="urn:schemas-microsoft-com:office:smarttags" w:element="place">
                <w:r w:rsidRPr="00962F8C">
                  <w:rPr>
                    <w:rFonts w:ascii="Arial" w:hAnsi="Arial" w:cs="Arial"/>
                    <w:sz w:val="18"/>
                    <w:szCs w:val="21"/>
                    <w:lang w:val="en-US"/>
                  </w:rPr>
                  <w:t>France</w:t>
                </w:r>
              </w:smartTag>
            </w:smartTag>
            <w:r w:rsidRPr="00962F8C">
              <w:rPr>
                <w:rFonts w:ascii="Arial" w:hAnsi="Arial" w:cs="Arial"/>
                <w:sz w:val="18"/>
                <w:szCs w:val="21"/>
                <w:lang w:val="en-US"/>
              </w:rPr>
              <w:t xml:space="preserve">, </w:t>
            </w:r>
            <w:proofErr w:type="spellStart"/>
            <w:r w:rsidRPr="00962F8C">
              <w:rPr>
                <w:rFonts w:ascii="Arial" w:hAnsi="Arial" w:cs="Arial"/>
                <w:sz w:val="18"/>
                <w:szCs w:val="21"/>
                <w:lang w:val="en-US"/>
              </w:rPr>
              <w:t>Coface</w:t>
            </w:r>
            <w:proofErr w:type="spellEnd"/>
            <w:r w:rsidRPr="00962F8C">
              <w:rPr>
                <w:rFonts w:ascii="Arial" w:hAnsi="Arial" w:cs="Arial"/>
                <w:sz w:val="18"/>
                <w:szCs w:val="21"/>
                <w:lang w:val="en-US"/>
              </w:rPr>
              <w:t xml:space="preserve"> manages export public guarantees on behalf of the </w:t>
            </w:r>
            <w:smartTag w:uri="urn:schemas-microsoft-com:office:smarttags" w:element="place">
              <w:smartTag w:uri="urn:schemas-microsoft-com:office:smarttags" w:element="PlaceName">
                <w:r w:rsidRPr="00962F8C">
                  <w:rPr>
                    <w:rFonts w:ascii="Arial" w:hAnsi="Arial" w:cs="Arial"/>
                    <w:sz w:val="18"/>
                    <w:szCs w:val="21"/>
                    <w:lang w:val="en-US"/>
                  </w:rPr>
                  <w:t>French</w:t>
                </w:r>
              </w:smartTag>
              <w:r w:rsidRPr="00962F8C">
                <w:rPr>
                  <w:rFonts w:ascii="Arial" w:hAnsi="Arial" w:cs="Arial"/>
                  <w:sz w:val="18"/>
                  <w:szCs w:val="21"/>
                  <w:lang w:val="en-US"/>
                </w:rPr>
                <w:t xml:space="preserve"> </w:t>
              </w:r>
              <w:smartTag w:uri="urn:schemas-microsoft-com:office:smarttags" w:element="PlaceType">
                <w:r w:rsidRPr="00962F8C">
                  <w:rPr>
                    <w:rFonts w:ascii="Arial" w:hAnsi="Arial" w:cs="Arial"/>
                    <w:sz w:val="18"/>
                    <w:szCs w:val="21"/>
                    <w:lang w:val="en-US"/>
                  </w:rPr>
                  <w:t>State</w:t>
                </w:r>
              </w:smartTag>
            </w:smartTag>
            <w:r w:rsidRPr="00962F8C">
              <w:rPr>
                <w:rFonts w:ascii="Arial" w:hAnsi="Arial" w:cs="Arial"/>
                <w:sz w:val="18"/>
                <w:szCs w:val="21"/>
                <w:lang w:val="en-US"/>
              </w:rPr>
              <w:t>.</w:t>
            </w:r>
          </w:p>
          <w:p w:rsidR="00DC0666" w:rsidRPr="00D70ECE" w:rsidRDefault="00DC0666" w:rsidP="00CA05EE">
            <w:pPr>
              <w:spacing w:before="60" w:after="60" w:line="240" w:lineRule="atLeast"/>
              <w:ind w:right="113"/>
              <w:jc w:val="center"/>
              <w:rPr>
                <w:rFonts w:ascii="Arial" w:hAnsi="Arial" w:cs="Arial"/>
                <w:color w:val="0000FF"/>
                <w:sz w:val="18"/>
                <w:szCs w:val="18"/>
                <w:u w:val="single"/>
                <w:lang w:val="en-US"/>
              </w:rPr>
            </w:pPr>
            <w:r>
              <w:rPr>
                <w:noProof/>
                <w:lang w:val="en-GB" w:eastAsia="en-GB"/>
              </w:rPr>
              <w:drawing>
                <wp:anchor distT="0" distB="0" distL="114300" distR="114300" simplePos="0" relativeHeight="251664384" behindDoc="0" locked="0" layoutInCell="1" allowOverlap="1">
                  <wp:simplePos x="0" y="0"/>
                  <wp:positionH relativeFrom="column">
                    <wp:posOffset>4621530</wp:posOffset>
                  </wp:positionH>
                  <wp:positionV relativeFrom="paragraph">
                    <wp:posOffset>161925</wp:posOffset>
                  </wp:positionV>
                  <wp:extent cx="519430" cy="514350"/>
                  <wp:effectExtent l="0" t="0" r="0" b="0"/>
                  <wp:wrapNone/>
                  <wp:docPr id="19" name="Image 6"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OFA-listed-emblems_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430" cy="514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r w:rsidRPr="00D70ECE">
                <w:rPr>
                  <w:rStyle w:val="Hyperlink"/>
                  <w:rFonts w:ascii="Arial" w:hAnsi="Arial" w:cs="Arial"/>
                  <w:sz w:val="18"/>
                  <w:szCs w:val="18"/>
                  <w:lang w:val="en-US"/>
                </w:rPr>
                <w:t>www.coface.com</w:t>
              </w:r>
            </w:hyperlink>
          </w:p>
          <w:p w:rsidR="00DC0666" w:rsidRPr="00D70ECE" w:rsidRDefault="00DC0666" w:rsidP="00CA05EE">
            <w:pPr>
              <w:spacing w:before="60" w:after="60" w:line="240" w:lineRule="atLeast"/>
              <w:ind w:right="113"/>
              <w:jc w:val="center"/>
              <w:rPr>
                <w:rFonts w:ascii="Arial" w:hAnsi="Arial" w:cs="Arial"/>
                <w:color w:val="0000FF"/>
                <w:sz w:val="18"/>
                <w:szCs w:val="18"/>
                <w:u w:val="single"/>
                <w:lang w:val="en-US"/>
              </w:rPr>
            </w:pPr>
          </w:p>
          <w:p w:rsidR="00DC0666" w:rsidRPr="00962F8C" w:rsidRDefault="00DC0666" w:rsidP="00CA05EE">
            <w:pPr>
              <w:tabs>
                <w:tab w:val="left" w:pos="8202"/>
              </w:tabs>
              <w:autoSpaceDE w:val="0"/>
              <w:autoSpaceDN w:val="0"/>
              <w:adjustRightInd w:val="0"/>
              <w:spacing w:line="240" w:lineRule="atLeast"/>
              <w:ind w:left="348" w:right="1587"/>
              <w:jc w:val="right"/>
              <w:rPr>
                <w:rFonts w:ascii="Arial" w:hAnsi="Arial" w:cs="Arial"/>
                <w:sz w:val="18"/>
                <w:szCs w:val="18"/>
                <w:lang w:val="en-US"/>
              </w:rPr>
            </w:pPr>
            <w:proofErr w:type="spellStart"/>
            <w:r w:rsidRPr="00D70ECE">
              <w:rPr>
                <w:rFonts w:ascii="Arial" w:hAnsi="Arial" w:cs="Arial"/>
                <w:sz w:val="18"/>
                <w:szCs w:val="18"/>
                <w:lang w:val="en-US"/>
              </w:rPr>
              <w:t>Coface</w:t>
            </w:r>
            <w:proofErr w:type="spellEnd"/>
            <w:r w:rsidRPr="00D70ECE">
              <w:rPr>
                <w:rFonts w:ascii="Arial" w:hAnsi="Arial" w:cs="Arial"/>
                <w:sz w:val="18"/>
                <w:szCs w:val="18"/>
                <w:lang w:val="en-US"/>
              </w:rPr>
              <w:t xml:space="preserve"> SA. </w:t>
            </w:r>
            <w:r w:rsidRPr="00962F8C">
              <w:rPr>
                <w:rFonts w:ascii="Arial" w:hAnsi="Arial" w:cs="Arial"/>
                <w:sz w:val="18"/>
                <w:szCs w:val="18"/>
                <w:lang w:val="en-US"/>
              </w:rPr>
              <w:t>is listed on Euronext Paris – Compartment A</w:t>
            </w:r>
          </w:p>
          <w:p w:rsidR="00DC0666" w:rsidRPr="00970D91" w:rsidRDefault="00DC0666" w:rsidP="00CA05EE">
            <w:pPr>
              <w:tabs>
                <w:tab w:val="left" w:pos="8202"/>
              </w:tabs>
              <w:autoSpaceDE w:val="0"/>
              <w:autoSpaceDN w:val="0"/>
              <w:adjustRightInd w:val="0"/>
              <w:spacing w:line="240" w:lineRule="atLeast"/>
              <w:ind w:left="348" w:right="1587"/>
              <w:jc w:val="right"/>
              <w:rPr>
                <w:rFonts w:ascii="Arial" w:hAnsi="Arial" w:cs="Arial"/>
                <w:sz w:val="18"/>
                <w:szCs w:val="18"/>
              </w:rPr>
            </w:pPr>
            <w:r w:rsidRPr="00970D91">
              <w:rPr>
                <w:rFonts w:ascii="Arial" w:hAnsi="Arial" w:cs="Arial"/>
                <w:sz w:val="18"/>
                <w:szCs w:val="18"/>
              </w:rPr>
              <w:t xml:space="preserve">ISIN: FR0010667147 / </w:t>
            </w:r>
            <w:proofErr w:type="spellStart"/>
            <w:r w:rsidRPr="00970D91">
              <w:rPr>
                <w:rFonts w:ascii="Arial" w:hAnsi="Arial" w:cs="Arial"/>
                <w:sz w:val="18"/>
                <w:szCs w:val="18"/>
              </w:rPr>
              <w:t>Ticker</w:t>
            </w:r>
            <w:proofErr w:type="spellEnd"/>
            <w:r w:rsidRPr="00970D91">
              <w:rPr>
                <w:rFonts w:ascii="Arial" w:hAnsi="Arial" w:cs="Arial"/>
                <w:sz w:val="18"/>
                <w:szCs w:val="18"/>
              </w:rPr>
              <w:t>: COFA</w:t>
            </w:r>
          </w:p>
          <w:p w:rsidR="00DC0666" w:rsidRPr="00970D91" w:rsidRDefault="00DC0666" w:rsidP="00CA05EE">
            <w:pPr>
              <w:tabs>
                <w:tab w:val="left" w:pos="8202"/>
              </w:tabs>
              <w:autoSpaceDE w:val="0"/>
              <w:autoSpaceDN w:val="0"/>
              <w:adjustRightInd w:val="0"/>
              <w:spacing w:line="240" w:lineRule="atLeast"/>
              <w:ind w:left="348" w:right="1587"/>
              <w:jc w:val="right"/>
              <w:rPr>
                <w:rFonts w:ascii="Arial" w:hAnsi="Arial" w:cs="Arial"/>
                <w:sz w:val="18"/>
                <w:szCs w:val="18"/>
                <w:u w:val="single"/>
              </w:rPr>
            </w:pPr>
          </w:p>
        </w:tc>
      </w:tr>
    </w:tbl>
    <w:p w:rsidR="00071E96" w:rsidRDefault="00071E96" w:rsidP="00257E4F">
      <w:pPr>
        <w:spacing w:line="270" w:lineRule="exact"/>
        <w:rPr>
          <w:sz w:val="20"/>
          <w:szCs w:val="20"/>
          <w:lang w:val="en-GB"/>
        </w:rPr>
      </w:pPr>
    </w:p>
    <w:p w:rsidR="00243384" w:rsidRDefault="00243384" w:rsidP="00243384">
      <w:pPr>
        <w:autoSpaceDE w:val="0"/>
        <w:autoSpaceDN w:val="0"/>
        <w:adjustRightInd w:val="0"/>
        <w:rPr>
          <w:rFonts w:ascii="Arial" w:hAnsi="Arial" w:cs="Arial"/>
          <w:color w:val="0000FF"/>
          <w:sz w:val="18"/>
          <w:szCs w:val="18"/>
          <w:lang w:val="en-GB"/>
        </w:rPr>
      </w:pPr>
      <w:r>
        <w:rPr>
          <w:rFonts w:ascii="Arial" w:hAnsi="Arial" w:cs="Arial"/>
          <w:color w:val="000000"/>
          <w:sz w:val="18"/>
          <w:szCs w:val="18"/>
          <w:lang w:val="en-GB"/>
        </w:rPr>
        <w:t xml:space="preserve">In the </w:t>
      </w:r>
      <w:r>
        <w:rPr>
          <w:rFonts w:ascii="Arial" w:hAnsi="Arial" w:cs="Arial"/>
          <w:b/>
          <w:bCs/>
          <w:color w:val="000000"/>
          <w:sz w:val="18"/>
          <w:szCs w:val="18"/>
          <w:lang w:val="en-GB"/>
        </w:rPr>
        <w:t xml:space="preserve">UK and Republic of Ireland </w:t>
      </w:r>
      <w:proofErr w:type="spellStart"/>
      <w:r>
        <w:rPr>
          <w:rFonts w:ascii="Arial" w:hAnsi="Arial" w:cs="Arial"/>
          <w:color w:val="000000"/>
          <w:sz w:val="18"/>
          <w:szCs w:val="18"/>
          <w:lang w:val="en-GB"/>
        </w:rPr>
        <w:t>Coface</w:t>
      </w:r>
      <w:proofErr w:type="spellEnd"/>
      <w:r>
        <w:rPr>
          <w:rFonts w:ascii="Arial" w:hAnsi="Arial" w:cs="Arial"/>
          <w:color w:val="000000"/>
          <w:sz w:val="18"/>
          <w:szCs w:val="18"/>
          <w:lang w:val="en-GB"/>
        </w:rPr>
        <w:t xml:space="preserve"> has been a leading provider of </w:t>
      </w:r>
      <w:r>
        <w:rPr>
          <w:rFonts w:ascii="Arial" w:hAnsi="Arial" w:cs="Arial"/>
          <w:color w:val="0000FF"/>
          <w:sz w:val="18"/>
          <w:szCs w:val="18"/>
          <w:lang w:val="en-GB"/>
        </w:rPr>
        <w:t>credit management services</w:t>
      </w:r>
    </w:p>
    <w:p w:rsidR="00243384" w:rsidRDefault="00243384" w:rsidP="00243384">
      <w:pPr>
        <w:autoSpaceDE w:val="0"/>
        <w:autoSpaceDN w:val="0"/>
        <w:adjustRightInd w:val="0"/>
        <w:rPr>
          <w:rFonts w:ascii="Arial" w:hAnsi="Arial" w:cs="Arial"/>
          <w:color w:val="000000"/>
          <w:sz w:val="18"/>
          <w:szCs w:val="18"/>
          <w:lang w:val="en-GB"/>
        </w:rPr>
      </w:pPr>
      <w:proofErr w:type="gramStart"/>
      <w:r>
        <w:rPr>
          <w:rFonts w:ascii="Arial" w:hAnsi="Arial" w:cs="Arial"/>
          <w:color w:val="000000"/>
          <w:sz w:val="18"/>
          <w:szCs w:val="18"/>
          <w:lang w:val="en-GB"/>
        </w:rPr>
        <w:t>since</w:t>
      </w:r>
      <w:proofErr w:type="gramEnd"/>
      <w:r>
        <w:rPr>
          <w:rFonts w:ascii="Arial" w:hAnsi="Arial" w:cs="Arial"/>
          <w:color w:val="000000"/>
          <w:sz w:val="18"/>
          <w:szCs w:val="18"/>
          <w:lang w:val="en-GB"/>
        </w:rPr>
        <w:t xml:space="preserve"> 1993 - its objective being to enable businesses to trade securely at home and overseas. Operating</w:t>
      </w:r>
    </w:p>
    <w:p w:rsidR="00243384" w:rsidRDefault="00243384" w:rsidP="00243384">
      <w:pPr>
        <w:autoSpaceDE w:val="0"/>
        <w:autoSpaceDN w:val="0"/>
        <w:adjustRightInd w:val="0"/>
        <w:rPr>
          <w:rFonts w:ascii="Arial" w:hAnsi="Arial" w:cs="Arial"/>
          <w:color w:val="000000"/>
          <w:sz w:val="18"/>
          <w:szCs w:val="18"/>
          <w:lang w:val="en-GB"/>
        </w:rPr>
      </w:pPr>
      <w:proofErr w:type="gramStart"/>
      <w:r>
        <w:rPr>
          <w:rFonts w:ascii="Arial" w:hAnsi="Arial" w:cs="Arial"/>
          <w:color w:val="000000"/>
          <w:sz w:val="18"/>
          <w:szCs w:val="18"/>
          <w:lang w:val="en-GB"/>
        </w:rPr>
        <w:t>from</w:t>
      </w:r>
      <w:proofErr w:type="gramEnd"/>
      <w:r>
        <w:rPr>
          <w:rFonts w:ascii="Arial" w:hAnsi="Arial" w:cs="Arial"/>
          <w:color w:val="000000"/>
          <w:sz w:val="18"/>
          <w:szCs w:val="18"/>
          <w:lang w:val="en-GB"/>
        </w:rPr>
        <w:t xml:space="preserve"> offices in London, Dublin, Watford, Birmingham, Manchester and Cardiff allows </w:t>
      </w:r>
      <w:proofErr w:type="spellStart"/>
      <w:r>
        <w:rPr>
          <w:rFonts w:ascii="Arial" w:hAnsi="Arial" w:cs="Arial"/>
          <w:color w:val="000000"/>
          <w:sz w:val="18"/>
          <w:szCs w:val="18"/>
          <w:lang w:val="en-GB"/>
        </w:rPr>
        <w:t>Coface</w:t>
      </w:r>
      <w:proofErr w:type="spellEnd"/>
      <w:r>
        <w:rPr>
          <w:rFonts w:ascii="Arial" w:hAnsi="Arial" w:cs="Arial"/>
          <w:color w:val="000000"/>
          <w:sz w:val="18"/>
          <w:szCs w:val="18"/>
          <w:lang w:val="en-GB"/>
        </w:rPr>
        <w:t xml:space="preserve"> to provide a</w:t>
      </w:r>
    </w:p>
    <w:p w:rsidR="00243384" w:rsidRDefault="00243384" w:rsidP="00243384">
      <w:pPr>
        <w:autoSpaceDE w:val="0"/>
        <w:autoSpaceDN w:val="0"/>
        <w:adjustRightInd w:val="0"/>
        <w:rPr>
          <w:rFonts w:ascii="Arial" w:hAnsi="Arial" w:cs="Arial"/>
          <w:color w:val="000000"/>
          <w:sz w:val="18"/>
          <w:szCs w:val="18"/>
          <w:lang w:val="en-GB"/>
        </w:rPr>
      </w:pPr>
      <w:proofErr w:type="gramStart"/>
      <w:r>
        <w:rPr>
          <w:rFonts w:ascii="Arial" w:hAnsi="Arial" w:cs="Arial"/>
          <w:color w:val="000000"/>
          <w:sz w:val="18"/>
          <w:szCs w:val="18"/>
          <w:lang w:val="en-GB"/>
        </w:rPr>
        <w:t>local</w:t>
      </w:r>
      <w:proofErr w:type="gramEnd"/>
      <w:r>
        <w:rPr>
          <w:rFonts w:ascii="Arial" w:hAnsi="Arial" w:cs="Arial"/>
          <w:color w:val="000000"/>
          <w:sz w:val="18"/>
          <w:szCs w:val="18"/>
          <w:lang w:val="en-GB"/>
        </w:rPr>
        <w:t xml:space="preserve"> service.</w:t>
      </w:r>
    </w:p>
    <w:p w:rsidR="00243384" w:rsidRDefault="00243384" w:rsidP="00243384">
      <w:pPr>
        <w:autoSpaceDE w:val="0"/>
        <w:autoSpaceDN w:val="0"/>
        <w:adjustRightInd w:val="0"/>
        <w:rPr>
          <w:rFonts w:ascii="Arial" w:hAnsi="Arial" w:cs="Arial"/>
          <w:color w:val="000000"/>
          <w:sz w:val="18"/>
          <w:szCs w:val="18"/>
          <w:lang w:val="en-GB"/>
        </w:rPr>
      </w:pPr>
    </w:p>
    <w:p w:rsidR="00243384" w:rsidRDefault="00243384" w:rsidP="00243384">
      <w:pPr>
        <w:autoSpaceDE w:val="0"/>
        <w:autoSpaceDN w:val="0"/>
        <w:adjustRightInd w:val="0"/>
        <w:rPr>
          <w:rFonts w:ascii="Arial" w:hAnsi="Arial" w:cs="Arial"/>
          <w:color w:val="000000"/>
          <w:sz w:val="18"/>
          <w:szCs w:val="18"/>
          <w:lang w:val="en-GB"/>
        </w:rPr>
      </w:pPr>
      <w:r>
        <w:rPr>
          <w:rFonts w:ascii="Arial" w:hAnsi="Arial" w:cs="Arial"/>
          <w:color w:val="000000"/>
          <w:sz w:val="18"/>
          <w:szCs w:val="18"/>
          <w:lang w:val="en-GB"/>
        </w:rPr>
        <w:t xml:space="preserve">The company’s </w:t>
      </w:r>
      <w:r>
        <w:rPr>
          <w:rFonts w:ascii="Arial" w:hAnsi="Arial" w:cs="Arial"/>
          <w:color w:val="0000FF"/>
          <w:sz w:val="18"/>
          <w:szCs w:val="18"/>
          <w:lang w:val="en-GB"/>
        </w:rPr>
        <w:t xml:space="preserve">credit insurance </w:t>
      </w:r>
      <w:r>
        <w:rPr>
          <w:rFonts w:ascii="Arial" w:hAnsi="Arial" w:cs="Arial"/>
          <w:color w:val="000000"/>
          <w:sz w:val="18"/>
          <w:szCs w:val="18"/>
          <w:lang w:val="en-GB"/>
        </w:rPr>
        <w:t xml:space="preserve">offer integrates credit assessment, </w:t>
      </w:r>
      <w:r>
        <w:rPr>
          <w:rFonts w:ascii="Arial" w:hAnsi="Arial" w:cs="Arial"/>
          <w:color w:val="0000FF"/>
          <w:sz w:val="18"/>
          <w:szCs w:val="18"/>
          <w:lang w:val="en-GB"/>
        </w:rPr>
        <w:t xml:space="preserve">collection services </w:t>
      </w:r>
      <w:r>
        <w:rPr>
          <w:rFonts w:ascii="Arial" w:hAnsi="Arial" w:cs="Arial"/>
          <w:color w:val="000000"/>
          <w:sz w:val="18"/>
          <w:szCs w:val="18"/>
          <w:lang w:val="en-GB"/>
        </w:rPr>
        <w:t>and cover for</w:t>
      </w:r>
    </w:p>
    <w:p w:rsidR="00243384" w:rsidRDefault="00243384" w:rsidP="00243384">
      <w:pPr>
        <w:autoSpaceDE w:val="0"/>
        <w:autoSpaceDN w:val="0"/>
        <w:adjustRightInd w:val="0"/>
        <w:rPr>
          <w:rFonts w:ascii="Arial" w:hAnsi="Arial" w:cs="Arial"/>
          <w:color w:val="000000"/>
          <w:sz w:val="18"/>
          <w:szCs w:val="18"/>
          <w:lang w:val="en-GB"/>
        </w:rPr>
      </w:pPr>
      <w:proofErr w:type="gramStart"/>
      <w:r>
        <w:rPr>
          <w:rFonts w:ascii="Arial" w:hAnsi="Arial" w:cs="Arial"/>
          <w:color w:val="000000"/>
          <w:sz w:val="18"/>
          <w:szCs w:val="18"/>
          <w:lang w:val="en-GB"/>
        </w:rPr>
        <w:t>unpaid</w:t>
      </w:r>
      <w:proofErr w:type="gramEnd"/>
      <w:r>
        <w:rPr>
          <w:rFonts w:ascii="Arial" w:hAnsi="Arial" w:cs="Arial"/>
          <w:color w:val="000000"/>
          <w:sz w:val="18"/>
          <w:szCs w:val="18"/>
          <w:lang w:val="en-GB"/>
        </w:rPr>
        <w:t xml:space="preserve"> debts. Multinational businesses can protect their worldwide subsidiaries through </w:t>
      </w:r>
      <w:proofErr w:type="spellStart"/>
      <w:r>
        <w:rPr>
          <w:rFonts w:ascii="Arial" w:hAnsi="Arial" w:cs="Arial"/>
          <w:color w:val="000000"/>
          <w:sz w:val="18"/>
          <w:szCs w:val="18"/>
          <w:lang w:val="en-GB"/>
        </w:rPr>
        <w:t>Coface’s</w:t>
      </w:r>
      <w:proofErr w:type="spellEnd"/>
      <w:r>
        <w:rPr>
          <w:rFonts w:ascii="Arial" w:hAnsi="Arial" w:cs="Arial"/>
          <w:color w:val="000000"/>
          <w:sz w:val="18"/>
          <w:szCs w:val="18"/>
          <w:lang w:val="en-GB"/>
        </w:rPr>
        <w:t xml:space="preserve"> intern</w:t>
      </w:r>
      <w:r>
        <w:rPr>
          <w:rFonts w:ascii="Arial" w:hAnsi="Arial" w:cs="Arial"/>
          <w:color w:val="000000"/>
          <w:sz w:val="18"/>
          <w:szCs w:val="18"/>
          <w:lang w:val="en-GB"/>
        </w:rPr>
        <w:t>a</w:t>
      </w:r>
      <w:r>
        <w:rPr>
          <w:rFonts w:ascii="Arial" w:hAnsi="Arial" w:cs="Arial"/>
          <w:color w:val="000000"/>
          <w:sz w:val="18"/>
          <w:szCs w:val="18"/>
          <w:lang w:val="en-GB"/>
        </w:rPr>
        <w:t>tional network.</w:t>
      </w:r>
    </w:p>
    <w:p w:rsidR="00243384" w:rsidRDefault="00243384" w:rsidP="00243384">
      <w:pPr>
        <w:autoSpaceDE w:val="0"/>
        <w:autoSpaceDN w:val="0"/>
        <w:adjustRightInd w:val="0"/>
        <w:rPr>
          <w:rFonts w:ascii="Arial" w:hAnsi="Arial" w:cs="Arial"/>
          <w:color w:val="000000"/>
          <w:sz w:val="18"/>
          <w:szCs w:val="18"/>
          <w:lang w:val="en-GB"/>
        </w:rPr>
      </w:pPr>
    </w:p>
    <w:p w:rsidR="00243384" w:rsidRDefault="00243384" w:rsidP="00243384">
      <w:pPr>
        <w:autoSpaceDE w:val="0"/>
        <w:autoSpaceDN w:val="0"/>
        <w:adjustRightInd w:val="0"/>
        <w:rPr>
          <w:rFonts w:ascii="Arial" w:hAnsi="Arial" w:cs="Arial"/>
          <w:color w:val="000000"/>
          <w:sz w:val="18"/>
          <w:szCs w:val="18"/>
          <w:lang w:val="en-GB"/>
        </w:rPr>
      </w:pPr>
      <w:r>
        <w:rPr>
          <w:rFonts w:ascii="Arial" w:hAnsi="Arial" w:cs="Arial"/>
          <w:color w:val="000000"/>
          <w:sz w:val="18"/>
          <w:szCs w:val="18"/>
          <w:lang w:val="en-GB"/>
        </w:rPr>
        <w:t xml:space="preserve">The company also provides access to domestic and international </w:t>
      </w:r>
      <w:r>
        <w:rPr>
          <w:rFonts w:ascii="Arial" w:hAnsi="Arial" w:cs="Arial"/>
          <w:color w:val="0000FF"/>
          <w:sz w:val="18"/>
          <w:szCs w:val="18"/>
          <w:lang w:val="en-GB"/>
        </w:rPr>
        <w:t xml:space="preserve">business information </w:t>
      </w:r>
      <w:r>
        <w:rPr>
          <w:rFonts w:ascii="Arial" w:hAnsi="Arial" w:cs="Arial"/>
          <w:color w:val="000000"/>
          <w:sz w:val="18"/>
          <w:szCs w:val="18"/>
          <w:lang w:val="en-GB"/>
        </w:rPr>
        <w:t>and a collection</w:t>
      </w:r>
    </w:p>
    <w:p w:rsidR="00243384" w:rsidRDefault="00243384" w:rsidP="00243384">
      <w:pPr>
        <w:autoSpaceDE w:val="0"/>
        <w:autoSpaceDN w:val="0"/>
        <w:adjustRightInd w:val="0"/>
        <w:rPr>
          <w:rFonts w:ascii="Arial" w:hAnsi="Arial" w:cs="Arial"/>
          <w:color w:val="000000"/>
          <w:sz w:val="18"/>
          <w:szCs w:val="18"/>
          <w:lang w:val="en-GB"/>
        </w:rPr>
      </w:pPr>
      <w:proofErr w:type="gramStart"/>
      <w:r>
        <w:rPr>
          <w:rFonts w:ascii="Arial" w:hAnsi="Arial" w:cs="Arial"/>
          <w:color w:val="000000"/>
          <w:sz w:val="18"/>
          <w:szCs w:val="18"/>
          <w:lang w:val="en-GB"/>
        </w:rPr>
        <w:t>network</w:t>
      </w:r>
      <w:proofErr w:type="gramEnd"/>
      <w:r>
        <w:rPr>
          <w:rFonts w:ascii="Arial" w:hAnsi="Arial" w:cs="Arial"/>
          <w:color w:val="000000"/>
          <w:sz w:val="18"/>
          <w:szCs w:val="18"/>
          <w:lang w:val="en-GB"/>
        </w:rPr>
        <w:t xml:space="preserve"> at home and overseas. </w:t>
      </w:r>
      <w:proofErr w:type="spellStart"/>
      <w:r>
        <w:rPr>
          <w:rFonts w:ascii="Arial" w:hAnsi="Arial" w:cs="Arial"/>
          <w:color w:val="000000"/>
          <w:sz w:val="18"/>
          <w:szCs w:val="18"/>
          <w:lang w:val="en-GB"/>
        </w:rPr>
        <w:t>Coface</w:t>
      </w:r>
      <w:proofErr w:type="spellEnd"/>
      <w:r>
        <w:rPr>
          <w:rFonts w:ascii="Arial" w:hAnsi="Arial" w:cs="Arial"/>
          <w:color w:val="000000"/>
          <w:sz w:val="18"/>
          <w:szCs w:val="18"/>
          <w:lang w:val="en-GB"/>
        </w:rPr>
        <w:t xml:space="preserve"> is also a recognised operator in the London </w:t>
      </w:r>
      <w:r>
        <w:rPr>
          <w:rFonts w:ascii="Arial" w:hAnsi="Arial" w:cs="Arial"/>
          <w:color w:val="0000FF"/>
          <w:sz w:val="18"/>
          <w:szCs w:val="18"/>
          <w:lang w:val="en-GB"/>
        </w:rPr>
        <w:t xml:space="preserve">political risk </w:t>
      </w:r>
      <w:r>
        <w:rPr>
          <w:rFonts w:ascii="Arial" w:hAnsi="Arial" w:cs="Arial"/>
          <w:color w:val="000000"/>
          <w:sz w:val="18"/>
          <w:szCs w:val="18"/>
          <w:lang w:val="en-GB"/>
        </w:rPr>
        <w:t>market.</w:t>
      </w:r>
    </w:p>
    <w:p w:rsidR="00243384" w:rsidRDefault="00243384" w:rsidP="00243384">
      <w:pPr>
        <w:autoSpaceDE w:val="0"/>
        <w:autoSpaceDN w:val="0"/>
        <w:adjustRightInd w:val="0"/>
        <w:rPr>
          <w:rFonts w:ascii="Arial" w:hAnsi="Arial" w:cs="Arial"/>
          <w:color w:val="000000"/>
          <w:sz w:val="18"/>
          <w:szCs w:val="18"/>
          <w:lang w:val="en-GB"/>
        </w:rPr>
      </w:pPr>
    </w:p>
    <w:p w:rsidR="00243384" w:rsidRPr="004F2B70" w:rsidRDefault="00243384" w:rsidP="00243384">
      <w:pPr>
        <w:tabs>
          <w:tab w:val="left" w:pos="8202"/>
        </w:tabs>
        <w:autoSpaceDE w:val="0"/>
        <w:autoSpaceDN w:val="0"/>
        <w:adjustRightInd w:val="0"/>
        <w:spacing w:line="240" w:lineRule="atLeast"/>
        <w:ind w:left="348" w:right="1587"/>
        <w:jc w:val="center"/>
        <w:rPr>
          <w:rFonts w:ascii="Arial" w:hAnsi="Arial" w:cs="Arial"/>
          <w:sz w:val="18"/>
          <w:szCs w:val="18"/>
          <w:lang w:val="en-GB"/>
        </w:rPr>
      </w:pPr>
      <w:r>
        <w:rPr>
          <w:rFonts w:ascii="Arial" w:hAnsi="Arial" w:cs="Arial"/>
          <w:color w:val="0000FF"/>
          <w:sz w:val="18"/>
          <w:szCs w:val="18"/>
          <w:lang w:val="en-GB"/>
        </w:rPr>
        <w:t xml:space="preserve">www.cofaceuk.com </w:t>
      </w:r>
      <w:r>
        <w:rPr>
          <w:rFonts w:ascii="Arial" w:hAnsi="Arial" w:cs="Arial"/>
          <w:color w:val="000000"/>
          <w:sz w:val="18"/>
          <w:szCs w:val="18"/>
          <w:lang w:val="en-GB"/>
        </w:rPr>
        <w:t xml:space="preserve">and </w:t>
      </w:r>
      <w:r>
        <w:rPr>
          <w:rFonts w:ascii="Arial" w:hAnsi="Arial" w:cs="Arial"/>
          <w:color w:val="0000FF"/>
          <w:sz w:val="18"/>
          <w:szCs w:val="18"/>
          <w:lang w:val="en-GB"/>
        </w:rPr>
        <w:t>www.coface.ie</w:t>
      </w:r>
    </w:p>
    <w:p w:rsidR="00243384" w:rsidRDefault="00243384" w:rsidP="00257E4F">
      <w:pPr>
        <w:spacing w:line="270" w:lineRule="exact"/>
        <w:rPr>
          <w:sz w:val="20"/>
          <w:szCs w:val="20"/>
          <w:lang w:val="en-GB"/>
        </w:rPr>
      </w:pPr>
    </w:p>
    <w:sectPr w:rsidR="00243384" w:rsidSect="006E5807">
      <w:headerReference w:type="default" r:id="rId13"/>
      <w:pgSz w:w="11900" w:h="16840"/>
      <w:pgMar w:top="1417" w:right="1361" w:bottom="1417" w:left="2155" w:header="3062"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348" w:rsidRDefault="00C43348" w:rsidP="00D67F85">
      <w:r>
        <w:separator/>
      </w:r>
    </w:p>
  </w:endnote>
  <w:endnote w:type="continuationSeparator" w:id="0">
    <w:p w:rsidR="00C43348" w:rsidRDefault="00C43348" w:rsidP="00D6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348" w:rsidRDefault="00C43348" w:rsidP="00D67F85">
      <w:r>
        <w:separator/>
      </w:r>
    </w:p>
  </w:footnote>
  <w:footnote w:type="continuationSeparator" w:id="0">
    <w:p w:rsidR="00C43348" w:rsidRDefault="00C43348" w:rsidP="00D67F85">
      <w:r>
        <w:continuationSeparator/>
      </w:r>
    </w:p>
  </w:footnote>
  <w:footnote w:id="1">
    <w:p w:rsidR="00EC38E3" w:rsidRPr="00EC38E3" w:rsidRDefault="00EC38E3">
      <w:pPr>
        <w:pStyle w:val="FootnoteText"/>
        <w:rPr>
          <w:lang w:val="en-GB"/>
        </w:rPr>
      </w:pPr>
      <w:r>
        <w:rPr>
          <w:rStyle w:val="FootnoteReference"/>
        </w:rPr>
        <w:footnoteRef/>
      </w:r>
      <w:r w:rsidRPr="00EC38E3">
        <w:rPr>
          <w:lang w:val="en-GB"/>
        </w:rPr>
        <w:t xml:space="preserve"> </w:t>
      </w:r>
      <w:proofErr w:type="spellStart"/>
      <w:r w:rsidRPr="00EC38E3">
        <w:rPr>
          <w:rFonts w:ascii="Arial" w:hAnsi="Arial" w:cs="Arial"/>
          <w:sz w:val="16"/>
          <w:lang w:val="en-GB"/>
        </w:rPr>
        <w:t>Coface</w:t>
      </w:r>
      <w:proofErr w:type="spellEnd"/>
      <w:r w:rsidRPr="00EC38E3">
        <w:rPr>
          <w:rFonts w:ascii="Arial" w:hAnsi="Arial" w:cs="Arial"/>
          <w:sz w:val="16"/>
          <w:lang w:val="en-GB"/>
        </w:rPr>
        <w:t xml:space="preserve"> uses a seven-level ranking. In ascending order of risk, these are: A1, A2, A3, A4, B, C and D. The country assessment provides an insight into the average payment incident level presented by companies in a country, in connection with their short term trading transactions.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E96" w:rsidRDefault="00DC0666">
    <w:pPr>
      <w:pStyle w:val="Header"/>
    </w:pPr>
    <w:r>
      <w:rPr>
        <w:noProof/>
        <w:lang w:val="en-GB" w:eastAsia="en-GB"/>
      </w:rPr>
      <w:drawing>
        <wp:anchor distT="0" distB="0" distL="114300" distR="114300" simplePos="0" relativeHeight="251660288" behindDoc="1" locked="0" layoutInCell="1" allowOverlap="1">
          <wp:simplePos x="0" y="0"/>
          <wp:positionH relativeFrom="column">
            <wp:posOffset>-458470</wp:posOffset>
          </wp:positionH>
          <wp:positionV relativeFrom="page">
            <wp:posOffset>585470</wp:posOffset>
          </wp:positionV>
          <wp:extent cx="5762625" cy="1316355"/>
          <wp:effectExtent l="0" t="0" r="0" b="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31635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1" locked="0" layoutInCell="1" allowOverlap="1">
              <wp:simplePos x="0" y="0"/>
              <wp:positionH relativeFrom="column">
                <wp:posOffset>-1270</wp:posOffset>
              </wp:positionH>
              <wp:positionV relativeFrom="page">
                <wp:posOffset>1427480</wp:posOffset>
              </wp:positionV>
              <wp:extent cx="5755640" cy="330835"/>
              <wp:effectExtent l="0" t="0" r="1905" b="3810"/>
              <wp:wrapNone/>
              <wp:docPr id="2"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564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E96" w:rsidRPr="009A4ED6" w:rsidRDefault="00071E96" w:rsidP="00202E35">
                          <w:pPr>
                            <w:spacing w:line="270" w:lineRule="exact"/>
                            <w:rPr>
                              <w:rFonts w:ascii="Arial" w:hAnsi="Arial" w:cs="Arial"/>
                              <w:b/>
                              <w:bCs/>
                              <w:color w:val="4FA76E"/>
                              <w:spacing w:val="514"/>
                              <w:sz w:val="26"/>
                              <w:szCs w:val="26"/>
                            </w:rPr>
                          </w:pPr>
                          <w:r w:rsidRPr="009A4ED6">
                            <w:rPr>
                              <w:rFonts w:ascii="Arial" w:hAnsi="Arial" w:cs="Arial"/>
                              <w:b/>
                              <w:bCs/>
                              <w:color w:val="4FA76E"/>
                              <w:spacing w:val="514"/>
                              <w:sz w:val="26"/>
                              <w:szCs w:val="26"/>
                            </w:rPr>
                            <w:t>PRESS RELEASE</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1pt;margin-top:112.4pt;width:453.2pt;height:2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7QMrAIAAJsFAAAOAAAAZHJzL2Uyb0RvYy54bWysVNtunDAQfa/Uf7D8Trgs7AIKGyXLUlVK&#10;L1Lal755wSxWwaa2dyGt+u8dm70lUaUqKg/IHo/PzJk5nuubsWvRnkrFBM+wf+VhRHkpKsa3Gf76&#10;pXBijJQmvCKt4DTDj1Thm+XbN9dDn9JANKKtqEQAwlU69BlutO5T11VlQzuirkRPORzWQnZEw1Zu&#10;3UqSAdC71g08b+4OQla9FCVVCqz5dIiXFr+uaak/1bWiGrUZhty0/Uv735i/u7wm6VaSvmHlIQ3y&#10;iiw6wjgEPUHlRBO0k+wFVMdKKZSo9VUpOlfUNSup5QBsfO8Zm4eG9NRygeKo/lQm9f9gy4/7zxKx&#10;KsMBRpx00KJv0ChUUaTpqCmamRINvUrB86EHXz3eiRFabemq/l6U3xW4uBc+0wVlvDfDB1EBKNlp&#10;YW+MtexMoYA6AhjoyeOpDxAQlWCMFlE0D+GohLPZzItnkcnCJenxdi+VfkdFh8wiwxL6bNHJ/l7p&#10;yfXoYoJxUbC2BTtJW/7EAJiTBWLDVXNmsrCt+5V4yTpex6ETBvO1E3p57twWq9CZF/4iymf5apX7&#10;v01cP0wbVlWUmzBHGfnhv7XpIOhJACchKdGyysCZlJTcblatRHsCMi7sdyjIhZv7NA1bL+DyjJIf&#10;hN5dkDjFPF44YRFGTrLwYsfzk7tk7oVJmBdPKd0zkMP0QCHAaymhIcNJFESTav7KzbPfS24k7ZiG&#10;QdGyLsPxyYmkDSXVmle2tZqwdlpflMKkfy4FtPvYaCtYo9FJrXrcjIBiVLwR1SNIVwpQFogQphss&#10;GiF/YjTApMiw+rEjkmLUvufwFM1YsYswWgSwkUfr5rggvITrGdYYTcuVnkbQrpds2wD69Jq4uIVn&#10;UjOr4HMmh8cFE8ASOUwrM2Iu99brPFOXfwAAAP//AwBQSwMEFAAGAAgAAAAhAKbZ69vaAAAACQEA&#10;AA8AAABkcnMvZG93bnJldi54bWxMj8FOwzAQRO9I/IO1SNxahwilNMSpqlScCwVxduIlibDXke20&#10;4e+7nOC4M6PZN9VucVacMcTRk4KHdQYCqfNmpF7Bx/vL6glETJqMtp5QwQ9G2NW3N5Uujb/QG55P&#10;qRdcQrHUCoaUplLK2A3odFz7CYm9Lx+cTnyGXpqgL1zurMyzrJBOj8QfBj1hM2D3fZqdgrFt3CFs&#10;5qb7RPt6nA0VJpBS93fL/hlEwiX9heEXn9GhZqbWz2SisApWOQcV5PkjL2B/mxWstKxsii3IupL/&#10;F9RXAAAA//8DAFBLAQItABQABgAIAAAAIQC2gziS/gAAAOEBAAATAAAAAAAAAAAAAAAAAAAAAABb&#10;Q29udGVudF9UeXBlc10ueG1sUEsBAi0AFAAGAAgAAAAhADj9If/WAAAAlAEAAAsAAAAAAAAAAAAA&#10;AAAALwEAAF9yZWxzLy5yZWxzUEsBAi0AFAAGAAgAAAAhAGjDtAysAgAAmwUAAA4AAAAAAAAAAAAA&#10;AAAALgIAAGRycy9lMm9Eb2MueG1sUEsBAi0AFAAGAAgAAAAhAKbZ69vaAAAACQEAAA8AAAAAAAAA&#10;AAAAAAAABgUAAGRycy9kb3ducmV2LnhtbFBLBQYAAAAABAAEAPMAAAANBgAAAAA=&#10;" filled="f" stroked="f">
              <v:path arrowok="t"/>
              <v:textbox inset="0,,0,0">
                <w:txbxContent>
                  <w:p w:rsidR="00071E96" w:rsidRPr="009A4ED6" w:rsidRDefault="00071E96" w:rsidP="00202E35">
                    <w:pPr>
                      <w:spacing w:line="270" w:lineRule="exact"/>
                      <w:rPr>
                        <w:rFonts w:ascii="Arial" w:hAnsi="Arial" w:cs="Arial"/>
                        <w:b/>
                        <w:bCs/>
                        <w:color w:val="4FA76E"/>
                        <w:spacing w:val="514"/>
                        <w:sz w:val="26"/>
                        <w:szCs w:val="26"/>
                      </w:rPr>
                    </w:pPr>
                    <w:r w:rsidRPr="009A4ED6">
                      <w:rPr>
                        <w:rFonts w:ascii="Arial" w:hAnsi="Arial" w:cs="Arial"/>
                        <w:b/>
                        <w:bCs/>
                        <w:color w:val="4FA76E"/>
                        <w:spacing w:val="514"/>
                        <w:sz w:val="26"/>
                        <w:szCs w:val="26"/>
                      </w:rPr>
                      <w:t>PRESS RELEASE</w:t>
                    </w: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40DE1"/>
    <w:multiLevelType w:val="hybridMultilevel"/>
    <w:tmpl w:val="22EE8C48"/>
    <w:lvl w:ilvl="0" w:tplc="00000002">
      <w:start w:val="1"/>
      <w:numFmt w:val="bullet"/>
      <w:lvlText w:val=""/>
      <w:lvlJc w:val="left"/>
      <w:pPr>
        <w:ind w:left="720" w:hanging="360"/>
      </w:pPr>
      <w:rPr>
        <w:rFonts w:ascii="Symbol" w:hAnsi="Symbol"/>
        <w:color w:val="61B57C"/>
        <w:w w:val="1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52A2416"/>
    <w:multiLevelType w:val="hybridMultilevel"/>
    <w:tmpl w:val="6A049944"/>
    <w:lvl w:ilvl="0" w:tplc="4C3294CC">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9E"/>
    <w:rsid w:val="0002108A"/>
    <w:rsid w:val="0002518E"/>
    <w:rsid w:val="0002570D"/>
    <w:rsid w:val="0004530D"/>
    <w:rsid w:val="00056AB7"/>
    <w:rsid w:val="00071E96"/>
    <w:rsid w:val="00083097"/>
    <w:rsid w:val="000839EA"/>
    <w:rsid w:val="000B1E06"/>
    <w:rsid w:val="000F6882"/>
    <w:rsid w:val="00102C18"/>
    <w:rsid w:val="001214E0"/>
    <w:rsid w:val="0012623C"/>
    <w:rsid w:val="00144189"/>
    <w:rsid w:val="0014643D"/>
    <w:rsid w:val="00147F22"/>
    <w:rsid w:val="001C7212"/>
    <w:rsid w:val="001D6779"/>
    <w:rsid w:val="00202E35"/>
    <w:rsid w:val="00207688"/>
    <w:rsid w:val="00243384"/>
    <w:rsid w:val="00257E4F"/>
    <w:rsid w:val="00261E5E"/>
    <w:rsid w:val="002B3B3B"/>
    <w:rsid w:val="002E00B5"/>
    <w:rsid w:val="002E2778"/>
    <w:rsid w:val="002F1EBA"/>
    <w:rsid w:val="00310949"/>
    <w:rsid w:val="00315D81"/>
    <w:rsid w:val="003A73FA"/>
    <w:rsid w:val="003B09A3"/>
    <w:rsid w:val="003F15B1"/>
    <w:rsid w:val="003F702F"/>
    <w:rsid w:val="00410921"/>
    <w:rsid w:val="00417560"/>
    <w:rsid w:val="00422B4C"/>
    <w:rsid w:val="00436791"/>
    <w:rsid w:val="0044032C"/>
    <w:rsid w:val="00461768"/>
    <w:rsid w:val="0048568F"/>
    <w:rsid w:val="00491DA7"/>
    <w:rsid w:val="004C2D3E"/>
    <w:rsid w:val="004E3572"/>
    <w:rsid w:val="00505E77"/>
    <w:rsid w:val="00510966"/>
    <w:rsid w:val="00526E0A"/>
    <w:rsid w:val="00536523"/>
    <w:rsid w:val="00544DE1"/>
    <w:rsid w:val="005B7F80"/>
    <w:rsid w:val="005D6541"/>
    <w:rsid w:val="005E50B9"/>
    <w:rsid w:val="005F3E91"/>
    <w:rsid w:val="005F4715"/>
    <w:rsid w:val="006006B8"/>
    <w:rsid w:val="00605CF6"/>
    <w:rsid w:val="00617F8A"/>
    <w:rsid w:val="00620C22"/>
    <w:rsid w:val="0064205E"/>
    <w:rsid w:val="00687D50"/>
    <w:rsid w:val="006A03BC"/>
    <w:rsid w:val="006C5214"/>
    <w:rsid w:val="006E5807"/>
    <w:rsid w:val="006F6BDD"/>
    <w:rsid w:val="00702302"/>
    <w:rsid w:val="0070771C"/>
    <w:rsid w:val="00715EA3"/>
    <w:rsid w:val="00720118"/>
    <w:rsid w:val="00724090"/>
    <w:rsid w:val="0073552A"/>
    <w:rsid w:val="007538D8"/>
    <w:rsid w:val="00756950"/>
    <w:rsid w:val="007C4C65"/>
    <w:rsid w:val="007C5CB5"/>
    <w:rsid w:val="007D3A99"/>
    <w:rsid w:val="007D4F54"/>
    <w:rsid w:val="00804800"/>
    <w:rsid w:val="00807CFD"/>
    <w:rsid w:val="00817FF5"/>
    <w:rsid w:val="00832844"/>
    <w:rsid w:val="00833220"/>
    <w:rsid w:val="0084225B"/>
    <w:rsid w:val="00843697"/>
    <w:rsid w:val="008625FB"/>
    <w:rsid w:val="0087456A"/>
    <w:rsid w:val="008A1C7F"/>
    <w:rsid w:val="008C1C15"/>
    <w:rsid w:val="008F4216"/>
    <w:rsid w:val="00924E9A"/>
    <w:rsid w:val="00924FC3"/>
    <w:rsid w:val="00931E8C"/>
    <w:rsid w:val="0093499F"/>
    <w:rsid w:val="0093634F"/>
    <w:rsid w:val="00970D91"/>
    <w:rsid w:val="009763F8"/>
    <w:rsid w:val="009A0080"/>
    <w:rsid w:val="009A4ED6"/>
    <w:rsid w:val="009D2213"/>
    <w:rsid w:val="00A05DD8"/>
    <w:rsid w:val="00A07D5F"/>
    <w:rsid w:val="00A24BBC"/>
    <w:rsid w:val="00A2631C"/>
    <w:rsid w:val="00A2644D"/>
    <w:rsid w:val="00A26A9B"/>
    <w:rsid w:val="00A26FEC"/>
    <w:rsid w:val="00A31F26"/>
    <w:rsid w:val="00A353A7"/>
    <w:rsid w:val="00A6032A"/>
    <w:rsid w:val="00A876FD"/>
    <w:rsid w:val="00AB3A55"/>
    <w:rsid w:val="00AB6B42"/>
    <w:rsid w:val="00AD1876"/>
    <w:rsid w:val="00AE6810"/>
    <w:rsid w:val="00AF36F9"/>
    <w:rsid w:val="00AF4A6B"/>
    <w:rsid w:val="00AF61D5"/>
    <w:rsid w:val="00B05E53"/>
    <w:rsid w:val="00B64B26"/>
    <w:rsid w:val="00BA207A"/>
    <w:rsid w:val="00BC0498"/>
    <w:rsid w:val="00BD5ED4"/>
    <w:rsid w:val="00BE0ED0"/>
    <w:rsid w:val="00BE36E2"/>
    <w:rsid w:val="00BF6EF9"/>
    <w:rsid w:val="00BF7CCF"/>
    <w:rsid w:val="00C03E36"/>
    <w:rsid w:val="00C0461B"/>
    <w:rsid w:val="00C12E3C"/>
    <w:rsid w:val="00C30CC1"/>
    <w:rsid w:val="00C43348"/>
    <w:rsid w:val="00C500AF"/>
    <w:rsid w:val="00C83145"/>
    <w:rsid w:val="00C90746"/>
    <w:rsid w:val="00C93EAB"/>
    <w:rsid w:val="00CA53C1"/>
    <w:rsid w:val="00CA57FD"/>
    <w:rsid w:val="00CA7922"/>
    <w:rsid w:val="00CB749E"/>
    <w:rsid w:val="00CD33BC"/>
    <w:rsid w:val="00CF03F2"/>
    <w:rsid w:val="00D21A93"/>
    <w:rsid w:val="00D36693"/>
    <w:rsid w:val="00D47637"/>
    <w:rsid w:val="00D66F6D"/>
    <w:rsid w:val="00D67F85"/>
    <w:rsid w:val="00D777B0"/>
    <w:rsid w:val="00D852E6"/>
    <w:rsid w:val="00DA4F9D"/>
    <w:rsid w:val="00DC0666"/>
    <w:rsid w:val="00E01086"/>
    <w:rsid w:val="00E02703"/>
    <w:rsid w:val="00E21AE1"/>
    <w:rsid w:val="00E365C3"/>
    <w:rsid w:val="00E6496F"/>
    <w:rsid w:val="00E85F43"/>
    <w:rsid w:val="00EB5156"/>
    <w:rsid w:val="00EC294E"/>
    <w:rsid w:val="00EC38E3"/>
    <w:rsid w:val="00ED6587"/>
    <w:rsid w:val="00F13B8F"/>
    <w:rsid w:val="00F22EF5"/>
    <w:rsid w:val="00F42B04"/>
    <w:rsid w:val="00F46D1B"/>
    <w:rsid w:val="00F56B0A"/>
    <w:rsid w:val="00F62A4E"/>
    <w:rsid w:val="00F72E1F"/>
    <w:rsid w:val="00FA7058"/>
    <w:rsid w:val="00FE7344"/>
    <w:rsid w:val="00FE7E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7F85"/>
    <w:pPr>
      <w:tabs>
        <w:tab w:val="center" w:pos="4536"/>
        <w:tab w:val="right" w:pos="9072"/>
      </w:tabs>
    </w:pPr>
  </w:style>
  <w:style w:type="character" w:customStyle="1" w:styleId="HeaderChar">
    <w:name w:val="Header Char"/>
    <w:basedOn w:val="DefaultParagraphFont"/>
    <w:link w:val="Header"/>
    <w:uiPriority w:val="99"/>
    <w:rsid w:val="00D67F85"/>
    <w:rPr>
      <w:rFonts w:cs="Times New Roman"/>
    </w:rPr>
  </w:style>
  <w:style w:type="paragraph" w:styleId="Footer">
    <w:name w:val="footer"/>
    <w:basedOn w:val="Normal"/>
    <w:link w:val="FooterChar"/>
    <w:uiPriority w:val="99"/>
    <w:rsid w:val="00D67F85"/>
    <w:pPr>
      <w:tabs>
        <w:tab w:val="center" w:pos="4536"/>
        <w:tab w:val="right" w:pos="9072"/>
      </w:tabs>
    </w:pPr>
  </w:style>
  <w:style w:type="character" w:customStyle="1" w:styleId="FooterChar">
    <w:name w:val="Footer Char"/>
    <w:basedOn w:val="DefaultParagraphFont"/>
    <w:link w:val="Footer"/>
    <w:uiPriority w:val="99"/>
    <w:rsid w:val="00D67F85"/>
    <w:rPr>
      <w:rFonts w:cs="Times New Roman"/>
    </w:rPr>
  </w:style>
  <w:style w:type="paragraph" w:styleId="BalloonText">
    <w:name w:val="Balloon Text"/>
    <w:basedOn w:val="Normal"/>
    <w:link w:val="BalloonTextChar"/>
    <w:uiPriority w:val="99"/>
    <w:semiHidden/>
    <w:rsid w:val="00D67F85"/>
    <w:rPr>
      <w:rFonts w:ascii="Lucida Grande" w:hAnsi="Lucida Grande"/>
      <w:sz w:val="18"/>
      <w:szCs w:val="18"/>
      <w:lang w:eastAsia="zh-CN"/>
    </w:rPr>
  </w:style>
  <w:style w:type="character" w:customStyle="1" w:styleId="BalloonTextChar">
    <w:name w:val="Balloon Text Char"/>
    <w:basedOn w:val="DefaultParagraphFont"/>
    <w:link w:val="BalloonText"/>
    <w:uiPriority w:val="99"/>
    <w:semiHidden/>
    <w:rsid w:val="00D67F85"/>
    <w:rPr>
      <w:rFonts w:ascii="Lucida Grande" w:hAnsi="Lucida Grande" w:cs="Times New Roman"/>
      <w:sz w:val="18"/>
    </w:rPr>
  </w:style>
  <w:style w:type="character" w:styleId="Hyperlink">
    <w:name w:val="Hyperlink"/>
    <w:basedOn w:val="DefaultParagraphFont"/>
    <w:uiPriority w:val="99"/>
    <w:rsid w:val="00C0461B"/>
    <w:rPr>
      <w:rFonts w:cs="Times New Roman"/>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rPr>
  </w:style>
  <w:style w:type="table" w:styleId="TableGrid">
    <w:name w:val="Table Grid"/>
    <w:basedOn w:val="TableNormal"/>
    <w:uiPriority w:val="99"/>
    <w:rsid w:val="00C0461B"/>
    <w:pPr>
      <w:spacing w:line="240" w:lineRule="atLeast"/>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contact0">
    <w:name w:val="Texte contact"/>
    <w:basedOn w:val="Normal"/>
    <w:uiPriority w:val="99"/>
    <w:rsid w:val="00C0461B"/>
    <w:pPr>
      <w:framePr w:w="10206" w:h="57" w:wrap="notBeside" w:vAnchor="page" w:hAnchor="page" w:x="852" w:y="12245"/>
      <w:spacing w:before="60" w:after="60" w:line="220" w:lineRule="atLeast"/>
      <w:ind w:left="113" w:right="113"/>
      <w:jc w:val="both"/>
    </w:pPr>
    <w:rPr>
      <w:rFonts w:ascii="Arial" w:hAnsi="Arial"/>
      <w:sz w:val="18"/>
      <w:szCs w:val="20"/>
    </w:rPr>
  </w:style>
  <w:style w:type="paragraph" w:customStyle="1" w:styleId="Titrecontact">
    <w:name w:val="Titre contact"/>
    <w:basedOn w:val="Textecontact0"/>
    <w:uiPriority w:val="99"/>
    <w:rsid w:val="00C0461B"/>
    <w:pPr>
      <w:framePr w:wrap="notBeside" w:y="12192" w:anchorLock="1"/>
      <w:spacing w:before="0" w:after="0"/>
      <w:ind w:left="0" w:right="0"/>
    </w:pPr>
    <w:rPr>
      <w:b/>
      <w:color w:val="000000"/>
    </w:rPr>
  </w:style>
  <w:style w:type="character" w:styleId="Strong">
    <w:name w:val="Strong"/>
    <w:basedOn w:val="DefaultParagraphFont"/>
    <w:uiPriority w:val="99"/>
    <w:qFormat/>
    <w:rsid w:val="00202E35"/>
    <w:rPr>
      <w:rFonts w:cs="Times New Roman"/>
      <w:b/>
      <w:bCs/>
    </w:rPr>
  </w:style>
  <w:style w:type="paragraph" w:styleId="ListParagraph">
    <w:name w:val="List Paragraph"/>
    <w:basedOn w:val="Normal"/>
    <w:uiPriority w:val="99"/>
    <w:qFormat/>
    <w:rsid w:val="00A2631C"/>
    <w:pPr>
      <w:ind w:left="720"/>
    </w:pPr>
  </w:style>
  <w:style w:type="character" w:customStyle="1" w:styleId="PieddepageCar1">
    <w:name w:val="Pied de page Car1"/>
    <w:uiPriority w:val="99"/>
    <w:rsid w:val="00315D81"/>
    <w:rPr>
      <w:rFonts w:ascii="Cambria" w:eastAsia="MS Mincho" w:hAnsi="Cambria"/>
      <w:sz w:val="24"/>
      <w:lang w:val="en-GB" w:eastAsia="ar-SA" w:bidi="ar-SA"/>
    </w:rPr>
  </w:style>
  <w:style w:type="character" w:styleId="CommentReference">
    <w:name w:val="annotation reference"/>
    <w:basedOn w:val="DefaultParagraphFont"/>
    <w:uiPriority w:val="99"/>
    <w:semiHidden/>
    <w:rsid w:val="00CF03F2"/>
    <w:rPr>
      <w:rFonts w:cs="Times New Roman"/>
      <w:sz w:val="16"/>
      <w:szCs w:val="16"/>
    </w:rPr>
  </w:style>
  <w:style w:type="paragraph" w:styleId="CommentText">
    <w:name w:val="annotation text"/>
    <w:basedOn w:val="Normal"/>
    <w:link w:val="CommentTextChar"/>
    <w:uiPriority w:val="99"/>
    <w:semiHidden/>
    <w:rsid w:val="00CF03F2"/>
    <w:rPr>
      <w:sz w:val="20"/>
      <w:szCs w:val="20"/>
    </w:rPr>
  </w:style>
  <w:style w:type="character" w:customStyle="1" w:styleId="CommentTextChar">
    <w:name w:val="Comment Text Char"/>
    <w:basedOn w:val="DefaultParagraphFont"/>
    <w:link w:val="CommentText"/>
    <w:uiPriority w:val="99"/>
    <w:semiHidden/>
    <w:rsid w:val="00DE1C71"/>
    <w:rPr>
      <w:sz w:val="20"/>
      <w:szCs w:val="20"/>
    </w:rPr>
  </w:style>
  <w:style w:type="paragraph" w:styleId="CommentSubject">
    <w:name w:val="annotation subject"/>
    <w:basedOn w:val="CommentText"/>
    <w:next w:val="CommentText"/>
    <w:link w:val="CommentSubjectChar"/>
    <w:uiPriority w:val="99"/>
    <w:semiHidden/>
    <w:rsid w:val="00CF03F2"/>
    <w:rPr>
      <w:b/>
      <w:bCs/>
    </w:rPr>
  </w:style>
  <w:style w:type="character" w:customStyle="1" w:styleId="CommentSubjectChar">
    <w:name w:val="Comment Subject Char"/>
    <w:basedOn w:val="CommentTextChar"/>
    <w:link w:val="CommentSubject"/>
    <w:uiPriority w:val="99"/>
    <w:semiHidden/>
    <w:rsid w:val="00DE1C71"/>
    <w:rPr>
      <w:b/>
      <w:bCs/>
      <w:sz w:val="20"/>
      <w:szCs w:val="20"/>
    </w:rPr>
  </w:style>
  <w:style w:type="paragraph" w:styleId="FootnoteText">
    <w:name w:val="footnote text"/>
    <w:basedOn w:val="Normal"/>
    <w:link w:val="FootnoteTextChar"/>
    <w:uiPriority w:val="99"/>
    <w:semiHidden/>
    <w:unhideWhenUsed/>
    <w:rsid w:val="00EC38E3"/>
    <w:rPr>
      <w:sz w:val="20"/>
      <w:szCs w:val="20"/>
    </w:rPr>
  </w:style>
  <w:style w:type="character" w:customStyle="1" w:styleId="FootnoteTextChar">
    <w:name w:val="Footnote Text Char"/>
    <w:basedOn w:val="DefaultParagraphFont"/>
    <w:link w:val="FootnoteText"/>
    <w:uiPriority w:val="99"/>
    <w:semiHidden/>
    <w:rsid w:val="00EC38E3"/>
    <w:rPr>
      <w:sz w:val="20"/>
      <w:szCs w:val="20"/>
    </w:rPr>
  </w:style>
  <w:style w:type="character" w:styleId="FootnoteReference">
    <w:name w:val="footnote reference"/>
    <w:basedOn w:val="DefaultParagraphFont"/>
    <w:uiPriority w:val="99"/>
    <w:semiHidden/>
    <w:unhideWhenUsed/>
    <w:rsid w:val="00EC38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7F85"/>
    <w:pPr>
      <w:tabs>
        <w:tab w:val="center" w:pos="4536"/>
        <w:tab w:val="right" w:pos="9072"/>
      </w:tabs>
    </w:pPr>
  </w:style>
  <w:style w:type="character" w:customStyle="1" w:styleId="HeaderChar">
    <w:name w:val="Header Char"/>
    <w:basedOn w:val="DefaultParagraphFont"/>
    <w:link w:val="Header"/>
    <w:uiPriority w:val="99"/>
    <w:rsid w:val="00D67F85"/>
    <w:rPr>
      <w:rFonts w:cs="Times New Roman"/>
    </w:rPr>
  </w:style>
  <w:style w:type="paragraph" w:styleId="Footer">
    <w:name w:val="footer"/>
    <w:basedOn w:val="Normal"/>
    <w:link w:val="FooterChar"/>
    <w:uiPriority w:val="99"/>
    <w:rsid w:val="00D67F85"/>
    <w:pPr>
      <w:tabs>
        <w:tab w:val="center" w:pos="4536"/>
        <w:tab w:val="right" w:pos="9072"/>
      </w:tabs>
    </w:pPr>
  </w:style>
  <w:style w:type="character" w:customStyle="1" w:styleId="FooterChar">
    <w:name w:val="Footer Char"/>
    <w:basedOn w:val="DefaultParagraphFont"/>
    <w:link w:val="Footer"/>
    <w:uiPriority w:val="99"/>
    <w:rsid w:val="00D67F85"/>
    <w:rPr>
      <w:rFonts w:cs="Times New Roman"/>
    </w:rPr>
  </w:style>
  <w:style w:type="paragraph" w:styleId="BalloonText">
    <w:name w:val="Balloon Text"/>
    <w:basedOn w:val="Normal"/>
    <w:link w:val="BalloonTextChar"/>
    <w:uiPriority w:val="99"/>
    <w:semiHidden/>
    <w:rsid w:val="00D67F85"/>
    <w:rPr>
      <w:rFonts w:ascii="Lucida Grande" w:hAnsi="Lucida Grande"/>
      <w:sz w:val="18"/>
      <w:szCs w:val="18"/>
      <w:lang w:eastAsia="zh-CN"/>
    </w:rPr>
  </w:style>
  <w:style w:type="character" w:customStyle="1" w:styleId="BalloonTextChar">
    <w:name w:val="Balloon Text Char"/>
    <w:basedOn w:val="DefaultParagraphFont"/>
    <w:link w:val="BalloonText"/>
    <w:uiPriority w:val="99"/>
    <w:semiHidden/>
    <w:rsid w:val="00D67F85"/>
    <w:rPr>
      <w:rFonts w:ascii="Lucida Grande" w:hAnsi="Lucida Grande" w:cs="Times New Roman"/>
      <w:sz w:val="18"/>
    </w:rPr>
  </w:style>
  <w:style w:type="character" w:styleId="Hyperlink">
    <w:name w:val="Hyperlink"/>
    <w:basedOn w:val="DefaultParagraphFont"/>
    <w:uiPriority w:val="99"/>
    <w:rsid w:val="00C0461B"/>
    <w:rPr>
      <w:rFonts w:cs="Times New Roman"/>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rPr>
  </w:style>
  <w:style w:type="table" w:styleId="TableGrid">
    <w:name w:val="Table Grid"/>
    <w:basedOn w:val="TableNormal"/>
    <w:uiPriority w:val="99"/>
    <w:rsid w:val="00C0461B"/>
    <w:pPr>
      <w:spacing w:line="240" w:lineRule="atLeast"/>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contact0">
    <w:name w:val="Texte contact"/>
    <w:basedOn w:val="Normal"/>
    <w:uiPriority w:val="99"/>
    <w:rsid w:val="00C0461B"/>
    <w:pPr>
      <w:framePr w:w="10206" w:h="57" w:wrap="notBeside" w:vAnchor="page" w:hAnchor="page" w:x="852" w:y="12245"/>
      <w:spacing w:before="60" w:after="60" w:line="220" w:lineRule="atLeast"/>
      <w:ind w:left="113" w:right="113"/>
      <w:jc w:val="both"/>
    </w:pPr>
    <w:rPr>
      <w:rFonts w:ascii="Arial" w:hAnsi="Arial"/>
      <w:sz w:val="18"/>
      <w:szCs w:val="20"/>
    </w:rPr>
  </w:style>
  <w:style w:type="paragraph" w:customStyle="1" w:styleId="Titrecontact">
    <w:name w:val="Titre contact"/>
    <w:basedOn w:val="Textecontact0"/>
    <w:uiPriority w:val="99"/>
    <w:rsid w:val="00C0461B"/>
    <w:pPr>
      <w:framePr w:wrap="notBeside" w:y="12192" w:anchorLock="1"/>
      <w:spacing w:before="0" w:after="0"/>
      <w:ind w:left="0" w:right="0"/>
    </w:pPr>
    <w:rPr>
      <w:b/>
      <w:color w:val="000000"/>
    </w:rPr>
  </w:style>
  <w:style w:type="character" w:styleId="Strong">
    <w:name w:val="Strong"/>
    <w:basedOn w:val="DefaultParagraphFont"/>
    <w:uiPriority w:val="99"/>
    <w:qFormat/>
    <w:rsid w:val="00202E35"/>
    <w:rPr>
      <w:rFonts w:cs="Times New Roman"/>
      <w:b/>
      <w:bCs/>
    </w:rPr>
  </w:style>
  <w:style w:type="paragraph" w:styleId="ListParagraph">
    <w:name w:val="List Paragraph"/>
    <w:basedOn w:val="Normal"/>
    <w:uiPriority w:val="99"/>
    <w:qFormat/>
    <w:rsid w:val="00A2631C"/>
    <w:pPr>
      <w:ind w:left="720"/>
    </w:pPr>
  </w:style>
  <w:style w:type="character" w:customStyle="1" w:styleId="PieddepageCar1">
    <w:name w:val="Pied de page Car1"/>
    <w:uiPriority w:val="99"/>
    <w:rsid w:val="00315D81"/>
    <w:rPr>
      <w:rFonts w:ascii="Cambria" w:eastAsia="MS Mincho" w:hAnsi="Cambria"/>
      <w:sz w:val="24"/>
      <w:lang w:val="en-GB" w:eastAsia="ar-SA" w:bidi="ar-SA"/>
    </w:rPr>
  </w:style>
  <w:style w:type="character" w:styleId="CommentReference">
    <w:name w:val="annotation reference"/>
    <w:basedOn w:val="DefaultParagraphFont"/>
    <w:uiPriority w:val="99"/>
    <w:semiHidden/>
    <w:rsid w:val="00CF03F2"/>
    <w:rPr>
      <w:rFonts w:cs="Times New Roman"/>
      <w:sz w:val="16"/>
      <w:szCs w:val="16"/>
    </w:rPr>
  </w:style>
  <w:style w:type="paragraph" w:styleId="CommentText">
    <w:name w:val="annotation text"/>
    <w:basedOn w:val="Normal"/>
    <w:link w:val="CommentTextChar"/>
    <w:uiPriority w:val="99"/>
    <w:semiHidden/>
    <w:rsid w:val="00CF03F2"/>
    <w:rPr>
      <w:sz w:val="20"/>
      <w:szCs w:val="20"/>
    </w:rPr>
  </w:style>
  <w:style w:type="character" w:customStyle="1" w:styleId="CommentTextChar">
    <w:name w:val="Comment Text Char"/>
    <w:basedOn w:val="DefaultParagraphFont"/>
    <w:link w:val="CommentText"/>
    <w:uiPriority w:val="99"/>
    <w:semiHidden/>
    <w:rsid w:val="00DE1C71"/>
    <w:rPr>
      <w:sz w:val="20"/>
      <w:szCs w:val="20"/>
    </w:rPr>
  </w:style>
  <w:style w:type="paragraph" w:styleId="CommentSubject">
    <w:name w:val="annotation subject"/>
    <w:basedOn w:val="CommentText"/>
    <w:next w:val="CommentText"/>
    <w:link w:val="CommentSubjectChar"/>
    <w:uiPriority w:val="99"/>
    <w:semiHidden/>
    <w:rsid w:val="00CF03F2"/>
    <w:rPr>
      <w:b/>
      <w:bCs/>
    </w:rPr>
  </w:style>
  <w:style w:type="character" w:customStyle="1" w:styleId="CommentSubjectChar">
    <w:name w:val="Comment Subject Char"/>
    <w:basedOn w:val="CommentTextChar"/>
    <w:link w:val="CommentSubject"/>
    <w:uiPriority w:val="99"/>
    <w:semiHidden/>
    <w:rsid w:val="00DE1C71"/>
    <w:rPr>
      <w:b/>
      <w:bCs/>
      <w:sz w:val="20"/>
      <w:szCs w:val="20"/>
    </w:rPr>
  </w:style>
  <w:style w:type="paragraph" w:styleId="FootnoteText">
    <w:name w:val="footnote text"/>
    <w:basedOn w:val="Normal"/>
    <w:link w:val="FootnoteTextChar"/>
    <w:uiPriority w:val="99"/>
    <w:semiHidden/>
    <w:unhideWhenUsed/>
    <w:rsid w:val="00EC38E3"/>
    <w:rPr>
      <w:sz w:val="20"/>
      <w:szCs w:val="20"/>
    </w:rPr>
  </w:style>
  <w:style w:type="character" w:customStyle="1" w:styleId="FootnoteTextChar">
    <w:name w:val="Footnote Text Char"/>
    <w:basedOn w:val="DefaultParagraphFont"/>
    <w:link w:val="FootnoteText"/>
    <w:uiPriority w:val="99"/>
    <w:semiHidden/>
    <w:rsid w:val="00EC38E3"/>
    <w:rPr>
      <w:sz w:val="20"/>
      <w:szCs w:val="20"/>
    </w:rPr>
  </w:style>
  <w:style w:type="character" w:styleId="FootnoteReference">
    <w:name w:val="footnote reference"/>
    <w:basedOn w:val="DefaultParagraphFont"/>
    <w:uiPriority w:val="99"/>
    <w:semiHidden/>
    <w:unhideWhenUsed/>
    <w:rsid w:val="00EC38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09666">
      <w:bodyDiv w:val="1"/>
      <w:marLeft w:val="0"/>
      <w:marRight w:val="0"/>
      <w:marTop w:val="0"/>
      <w:marBottom w:val="0"/>
      <w:divBdr>
        <w:top w:val="none" w:sz="0" w:space="0" w:color="auto"/>
        <w:left w:val="none" w:sz="0" w:space="0" w:color="auto"/>
        <w:bottom w:val="none" w:sz="0" w:space="0" w:color="auto"/>
        <w:right w:val="none" w:sz="0" w:space="0" w:color="auto"/>
      </w:divBdr>
    </w:div>
    <w:div w:id="1468090170">
      <w:marLeft w:val="0"/>
      <w:marRight w:val="0"/>
      <w:marTop w:val="0"/>
      <w:marBottom w:val="0"/>
      <w:divBdr>
        <w:top w:val="none" w:sz="0" w:space="0" w:color="auto"/>
        <w:left w:val="none" w:sz="0" w:space="0" w:color="auto"/>
        <w:bottom w:val="none" w:sz="0" w:space="0" w:color="auto"/>
        <w:right w:val="none" w:sz="0" w:space="0" w:color="auto"/>
      </w:divBdr>
    </w:div>
    <w:div w:id="1468090171">
      <w:marLeft w:val="0"/>
      <w:marRight w:val="0"/>
      <w:marTop w:val="0"/>
      <w:marBottom w:val="0"/>
      <w:divBdr>
        <w:top w:val="none" w:sz="0" w:space="0" w:color="auto"/>
        <w:left w:val="none" w:sz="0" w:space="0" w:color="auto"/>
        <w:bottom w:val="none" w:sz="0" w:space="0" w:color="auto"/>
        <w:right w:val="none" w:sz="0" w:space="0" w:color="auto"/>
      </w:divBdr>
    </w:div>
    <w:div w:id="1468090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fa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faceu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38B09-D535-49B8-A5A3-D91275D2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5688</Characters>
  <Application>Microsoft Office Word</Application>
  <DocSecurity>4</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Town, 00 Month 2013</vt:lpstr>
      <vt:lpstr>Town, 00 Month 2013</vt:lpstr>
    </vt:vector>
  </TitlesOfParts>
  <Company>COFACE</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00 Month 2013</dc:title>
  <dc:creator>KRELLENSTEIN Maria</dc:creator>
  <cp:lastModifiedBy>TURKENTINE Laura</cp:lastModifiedBy>
  <cp:revision>2</cp:revision>
  <cp:lastPrinted>2014-09-29T10:52:00Z</cp:lastPrinted>
  <dcterms:created xsi:type="dcterms:W3CDTF">2014-09-29T10:53:00Z</dcterms:created>
  <dcterms:modified xsi:type="dcterms:W3CDTF">2014-09-29T10:53:00Z</dcterms:modified>
</cp:coreProperties>
</file>